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455" w:rsidRPr="0099307A" w:rsidRDefault="00453657" w:rsidP="00973ED8">
      <w:pPr>
        <w:spacing w:after="0" w:line="240" w:lineRule="atLeast"/>
        <w:jc w:val="right"/>
        <w:rPr>
          <w:rFonts w:ascii="Montserrat Light" w:eastAsia="Times New Roman" w:hAnsi="Montserrat Light" w:cs="Times New Roman"/>
          <w:lang w:eastAsia="es-MX"/>
        </w:rPr>
      </w:pPr>
      <w:r w:rsidRPr="0099307A">
        <w:rPr>
          <w:rFonts w:ascii="Montserrat Light" w:eastAsia="Times New Roman" w:hAnsi="Montserrat Light" w:cs="Times New Roman"/>
          <w:lang w:eastAsia="es-MX"/>
        </w:rPr>
        <w:t xml:space="preserve">Fecha de actualización </w:t>
      </w:r>
      <w:r w:rsidR="00FD3CA0">
        <w:rPr>
          <w:rFonts w:ascii="Montserrat Light" w:eastAsia="Times New Roman" w:hAnsi="Montserrat Light" w:cs="Times New Roman"/>
          <w:lang w:eastAsia="es-MX"/>
        </w:rPr>
        <w:t>3</w:t>
      </w:r>
      <w:r w:rsidR="002374C4">
        <w:rPr>
          <w:rFonts w:ascii="Montserrat Light" w:eastAsia="Times New Roman" w:hAnsi="Montserrat Light" w:cs="Times New Roman"/>
          <w:lang w:eastAsia="es-MX"/>
        </w:rPr>
        <w:t>1</w:t>
      </w:r>
      <w:r w:rsidR="00ED23AA" w:rsidRPr="0099307A">
        <w:rPr>
          <w:rFonts w:ascii="Montserrat Light" w:eastAsia="Times New Roman" w:hAnsi="Montserrat Light" w:cs="Times New Roman"/>
          <w:lang w:eastAsia="es-MX"/>
        </w:rPr>
        <w:t>/</w:t>
      </w:r>
      <w:r w:rsidR="002374C4">
        <w:rPr>
          <w:rFonts w:ascii="Montserrat Light" w:eastAsia="Times New Roman" w:hAnsi="Montserrat Light" w:cs="Times New Roman"/>
          <w:lang w:eastAsia="es-MX"/>
        </w:rPr>
        <w:t>12</w:t>
      </w:r>
      <w:r w:rsidR="00ED23AA" w:rsidRPr="0099307A">
        <w:rPr>
          <w:rFonts w:ascii="Montserrat Light" w:eastAsia="Times New Roman" w:hAnsi="Montserrat Light" w:cs="Times New Roman"/>
          <w:lang w:eastAsia="es-MX"/>
        </w:rPr>
        <w:t>/202</w:t>
      </w:r>
      <w:r w:rsidR="00FD3CA0">
        <w:rPr>
          <w:rFonts w:ascii="Montserrat Light" w:eastAsia="Times New Roman" w:hAnsi="Montserrat Light" w:cs="Times New Roman"/>
          <w:lang w:eastAsia="es-MX"/>
        </w:rPr>
        <w:t>2</w:t>
      </w:r>
    </w:p>
    <w:tbl>
      <w:tblPr>
        <w:tblStyle w:val="Tablaconcuadrcula"/>
        <w:tblpPr w:leftFromText="141" w:rightFromText="141" w:vertAnchor="text" w:horzAnchor="margin" w:tblpX="-357" w:tblpY="189"/>
        <w:tblW w:w="14338" w:type="dxa"/>
        <w:tblLayout w:type="fixed"/>
        <w:tblLook w:val="04A0" w:firstRow="1" w:lastRow="0" w:firstColumn="1" w:lastColumn="0" w:noHBand="0" w:noVBand="1"/>
      </w:tblPr>
      <w:tblGrid>
        <w:gridCol w:w="560"/>
        <w:gridCol w:w="706"/>
        <w:gridCol w:w="1271"/>
        <w:gridCol w:w="3554"/>
        <w:gridCol w:w="1417"/>
        <w:gridCol w:w="2011"/>
        <w:gridCol w:w="1944"/>
        <w:gridCol w:w="2875"/>
      </w:tblGrid>
      <w:tr w:rsidR="00DB6833" w:rsidRPr="003E1455" w:rsidTr="00152487">
        <w:trPr>
          <w:trHeight w:val="912"/>
          <w:tblHeader/>
        </w:trPr>
        <w:tc>
          <w:tcPr>
            <w:tcW w:w="560" w:type="dxa"/>
            <w:shd w:val="clear" w:color="auto" w:fill="7030A0"/>
            <w:vAlign w:val="center"/>
          </w:tcPr>
          <w:p w:rsidR="000A117E" w:rsidRPr="004B44D5" w:rsidRDefault="002A6EFF" w:rsidP="00DB6833">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No.</w:t>
            </w:r>
          </w:p>
        </w:tc>
        <w:tc>
          <w:tcPr>
            <w:tcW w:w="706" w:type="dxa"/>
            <w:shd w:val="clear" w:color="auto" w:fill="7030A0"/>
            <w:vAlign w:val="center"/>
          </w:tcPr>
          <w:p w:rsidR="000A117E" w:rsidRPr="004B44D5" w:rsidRDefault="002A6EFF" w:rsidP="00DB6833">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Año</w:t>
            </w:r>
          </w:p>
        </w:tc>
        <w:tc>
          <w:tcPr>
            <w:tcW w:w="1271" w:type="dxa"/>
            <w:shd w:val="clear" w:color="auto" w:fill="7030A0"/>
            <w:vAlign w:val="center"/>
          </w:tcPr>
          <w:p w:rsidR="000A117E" w:rsidRPr="004B44D5" w:rsidRDefault="002A6EFF" w:rsidP="00DB6833">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Número de identificación de la denuncia</w:t>
            </w:r>
          </w:p>
        </w:tc>
        <w:tc>
          <w:tcPr>
            <w:tcW w:w="3554" w:type="dxa"/>
            <w:shd w:val="clear" w:color="auto" w:fill="7030A0"/>
            <w:vAlign w:val="center"/>
          </w:tcPr>
          <w:p w:rsidR="000A117E" w:rsidRPr="004B44D5" w:rsidRDefault="002A6EFF" w:rsidP="00DB6833">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Objeto de la denuncia</w:t>
            </w:r>
          </w:p>
        </w:tc>
        <w:tc>
          <w:tcPr>
            <w:tcW w:w="1417" w:type="dxa"/>
            <w:shd w:val="clear" w:color="auto" w:fill="7030A0"/>
            <w:vAlign w:val="center"/>
          </w:tcPr>
          <w:p w:rsidR="000A117E" w:rsidRPr="004B44D5" w:rsidRDefault="002A6EFF" w:rsidP="00DB6833">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Sentido de la resolución emitida por el INAI</w:t>
            </w:r>
          </w:p>
        </w:tc>
        <w:tc>
          <w:tcPr>
            <w:tcW w:w="2011" w:type="dxa"/>
            <w:shd w:val="clear" w:color="auto" w:fill="7030A0"/>
            <w:vAlign w:val="center"/>
          </w:tcPr>
          <w:p w:rsidR="000A117E" w:rsidRPr="004B44D5" w:rsidRDefault="002A6EFF" w:rsidP="00DB6833">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Fecha en que fue emitida la resolución del INAI</w:t>
            </w:r>
          </w:p>
        </w:tc>
        <w:tc>
          <w:tcPr>
            <w:tcW w:w="1944" w:type="dxa"/>
            <w:shd w:val="clear" w:color="auto" w:fill="7030A0"/>
            <w:vAlign w:val="center"/>
          </w:tcPr>
          <w:p w:rsidR="000A117E" w:rsidRPr="004B44D5" w:rsidRDefault="002A6EFF" w:rsidP="00DB6833">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Documento de la denuncia</w:t>
            </w:r>
          </w:p>
        </w:tc>
        <w:tc>
          <w:tcPr>
            <w:tcW w:w="2875" w:type="dxa"/>
            <w:shd w:val="clear" w:color="auto" w:fill="7030A0"/>
            <w:vAlign w:val="center"/>
          </w:tcPr>
          <w:p w:rsidR="000A117E" w:rsidRPr="004B44D5" w:rsidRDefault="002A6EFF" w:rsidP="00DB6833">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Nota</w:t>
            </w:r>
          </w:p>
        </w:tc>
      </w:tr>
      <w:tr w:rsidR="00A832D4" w:rsidTr="00152487">
        <w:trPr>
          <w:trHeight w:val="550"/>
        </w:trPr>
        <w:tc>
          <w:tcPr>
            <w:tcW w:w="560" w:type="dxa"/>
            <w:vAlign w:val="center"/>
          </w:tcPr>
          <w:p w:rsidR="003E1455" w:rsidRPr="0099307A" w:rsidRDefault="003E1455"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1</w:t>
            </w:r>
          </w:p>
        </w:tc>
        <w:tc>
          <w:tcPr>
            <w:tcW w:w="706" w:type="dxa"/>
            <w:vAlign w:val="center"/>
          </w:tcPr>
          <w:p w:rsidR="003E1455" w:rsidRPr="0099307A" w:rsidRDefault="00FD3CA0"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2022</w:t>
            </w:r>
          </w:p>
        </w:tc>
        <w:tc>
          <w:tcPr>
            <w:tcW w:w="1271" w:type="dxa"/>
          </w:tcPr>
          <w:p w:rsidR="003E1455" w:rsidRPr="0099307A" w:rsidRDefault="003E1455"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554" w:type="dxa"/>
          </w:tcPr>
          <w:p w:rsidR="003E1455" w:rsidRPr="0099307A" w:rsidRDefault="003E1455" w:rsidP="00DB6833">
            <w:pPr>
              <w:tabs>
                <w:tab w:val="left" w:pos="6804"/>
                <w:tab w:val="left" w:pos="7230"/>
              </w:tabs>
              <w:spacing w:line="360" w:lineRule="auto"/>
              <w:ind w:left="34"/>
              <w:jc w:val="both"/>
              <w:rPr>
                <w:rFonts w:ascii="Montserrat Light" w:eastAsia="Times New Roman" w:hAnsi="Montserrat Light" w:cs="Times New Roman"/>
                <w:i/>
                <w:sz w:val="16"/>
                <w:szCs w:val="16"/>
                <w:lang w:val="es-ES" w:eastAsia="es-MX"/>
              </w:rPr>
            </w:pPr>
          </w:p>
        </w:tc>
        <w:tc>
          <w:tcPr>
            <w:tcW w:w="1417" w:type="dxa"/>
          </w:tcPr>
          <w:p w:rsidR="003E1455" w:rsidRPr="0099307A" w:rsidRDefault="003E1455"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011" w:type="dxa"/>
          </w:tcPr>
          <w:p w:rsidR="003E1455" w:rsidRPr="0099307A" w:rsidRDefault="003E1455"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944" w:type="dxa"/>
          </w:tcPr>
          <w:p w:rsidR="003E1455" w:rsidRPr="0099307A" w:rsidRDefault="003E1455"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875" w:type="dxa"/>
          </w:tcPr>
          <w:p w:rsidR="003E1455" w:rsidRPr="0099307A" w:rsidRDefault="003E1455" w:rsidP="00DB6833">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 xml:space="preserve">En el mes de enero el INAI no emitió ninguna resolución sobre denuncias presentadas contra este </w:t>
            </w:r>
            <w:r w:rsidRPr="0099307A">
              <w:rPr>
                <w:rFonts w:ascii="Montserrat Light" w:eastAsia="Times New Roman" w:hAnsi="Montserrat Light" w:cs="Times New Roman"/>
                <w:bCs/>
                <w:i/>
                <w:sz w:val="16"/>
                <w:szCs w:val="16"/>
                <w:lang w:eastAsia="es-MX"/>
              </w:rPr>
              <w:t>Centro Nacional de Inteligencia</w:t>
            </w:r>
            <w:r w:rsidR="00A832D4" w:rsidRPr="0099307A">
              <w:rPr>
                <w:rFonts w:ascii="Montserrat Light" w:eastAsia="Times New Roman" w:hAnsi="Montserrat Light" w:cs="Times New Roman"/>
                <w:bCs/>
                <w:i/>
                <w:sz w:val="16"/>
                <w:szCs w:val="16"/>
                <w:lang w:eastAsia="es-MX"/>
              </w:rPr>
              <w:t>.</w:t>
            </w:r>
          </w:p>
        </w:tc>
      </w:tr>
      <w:tr w:rsidR="00A832D4" w:rsidTr="00152487">
        <w:trPr>
          <w:trHeight w:val="926"/>
        </w:trPr>
        <w:tc>
          <w:tcPr>
            <w:tcW w:w="560" w:type="dxa"/>
            <w:vAlign w:val="center"/>
          </w:tcPr>
          <w:p w:rsidR="003E1455" w:rsidRPr="0099307A" w:rsidRDefault="003E1455"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2</w:t>
            </w:r>
          </w:p>
        </w:tc>
        <w:tc>
          <w:tcPr>
            <w:tcW w:w="706" w:type="dxa"/>
            <w:vAlign w:val="center"/>
          </w:tcPr>
          <w:p w:rsidR="003E1455" w:rsidRPr="0099307A" w:rsidRDefault="00A832D4"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202</w:t>
            </w:r>
            <w:r w:rsidR="00FD3CA0">
              <w:rPr>
                <w:rFonts w:ascii="Montserrat Light" w:eastAsia="Times New Roman" w:hAnsi="Montserrat Light" w:cs="Times New Roman"/>
                <w:bCs/>
                <w:sz w:val="16"/>
                <w:szCs w:val="16"/>
                <w:lang w:eastAsia="es-MX"/>
              </w:rPr>
              <w:t>2</w:t>
            </w:r>
          </w:p>
        </w:tc>
        <w:tc>
          <w:tcPr>
            <w:tcW w:w="1271" w:type="dxa"/>
          </w:tcPr>
          <w:p w:rsidR="003E1455" w:rsidRPr="0099307A" w:rsidRDefault="003E1455"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554" w:type="dxa"/>
          </w:tcPr>
          <w:p w:rsidR="003E1455" w:rsidRPr="0099307A" w:rsidRDefault="003E1455" w:rsidP="00DB6833">
            <w:pPr>
              <w:tabs>
                <w:tab w:val="left" w:pos="6804"/>
                <w:tab w:val="left" w:pos="7230"/>
              </w:tabs>
              <w:spacing w:line="360" w:lineRule="auto"/>
              <w:ind w:left="34"/>
              <w:jc w:val="both"/>
              <w:rPr>
                <w:rFonts w:ascii="Montserrat Light" w:eastAsia="Times New Roman" w:hAnsi="Montserrat Light" w:cs="Times New Roman"/>
                <w:i/>
                <w:sz w:val="16"/>
                <w:szCs w:val="16"/>
                <w:lang w:val="es-ES" w:eastAsia="es-MX"/>
              </w:rPr>
            </w:pPr>
          </w:p>
        </w:tc>
        <w:tc>
          <w:tcPr>
            <w:tcW w:w="1417" w:type="dxa"/>
          </w:tcPr>
          <w:p w:rsidR="003E1455" w:rsidRPr="0099307A" w:rsidRDefault="003E1455"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011" w:type="dxa"/>
          </w:tcPr>
          <w:p w:rsidR="003E1455" w:rsidRPr="0099307A" w:rsidRDefault="003E1455"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944" w:type="dxa"/>
          </w:tcPr>
          <w:p w:rsidR="003E1455" w:rsidRPr="0099307A" w:rsidRDefault="003E1455"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875" w:type="dxa"/>
          </w:tcPr>
          <w:p w:rsidR="00A832D4" w:rsidRPr="0099307A" w:rsidRDefault="003E1455" w:rsidP="00DB6833">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 xml:space="preserve">En el mes de febrero el INAI no emitió ninguna resolución sobre denuncias presentadas contra este </w:t>
            </w:r>
            <w:r w:rsidRPr="0099307A">
              <w:rPr>
                <w:rFonts w:ascii="Montserrat Light" w:eastAsia="Times New Roman" w:hAnsi="Montserrat Light" w:cs="Times New Roman"/>
                <w:bCs/>
                <w:i/>
                <w:sz w:val="16"/>
                <w:szCs w:val="16"/>
                <w:lang w:eastAsia="es-MX"/>
              </w:rPr>
              <w:t>Centro Nacional de Inteligencia</w:t>
            </w:r>
            <w:r w:rsidR="00A832D4" w:rsidRPr="0099307A">
              <w:rPr>
                <w:rFonts w:ascii="Montserrat Light" w:eastAsia="Times New Roman" w:hAnsi="Montserrat Light" w:cs="Times New Roman"/>
                <w:bCs/>
                <w:i/>
                <w:sz w:val="16"/>
                <w:szCs w:val="16"/>
                <w:lang w:eastAsia="es-MX"/>
              </w:rPr>
              <w:t>.</w:t>
            </w:r>
          </w:p>
        </w:tc>
      </w:tr>
      <w:tr w:rsidR="00FD3CA0" w:rsidTr="00152487">
        <w:trPr>
          <w:trHeight w:val="831"/>
        </w:trPr>
        <w:tc>
          <w:tcPr>
            <w:tcW w:w="560" w:type="dxa"/>
            <w:vAlign w:val="center"/>
          </w:tcPr>
          <w:p w:rsidR="00FD3CA0" w:rsidRPr="0099307A" w:rsidRDefault="00FD3CA0"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3</w:t>
            </w:r>
          </w:p>
        </w:tc>
        <w:tc>
          <w:tcPr>
            <w:tcW w:w="706" w:type="dxa"/>
            <w:vAlign w:val="center"/>
          </w:tcPr>
          <w:p w:rsidR="00FD3CA0" w:rsidRPr="0099307A" w:rsidRDefault="00FD3CA0"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202</w:t>
            </w:r>
            <w:r>
              <w:rPr>
                <w:rFonts w:ascii="Montserrat Light" w:eastAsia="Times New Roman" w:hAnsi="Montserrat Light" w:cs="Times New Roman"/>
                <w:bCs/>
                <w:sz w:val="16"/>
                <w:szCs w:val="16"/>
                <w:lang w:eastAsia="es-MX"/>
              </w:rPr>
              <w:t>2</w:t>
            </w:r>
          </w:p>
        </w:tc>
        <w:tc>
          <w:tcPr>
            <w:tcW w:w="1271" w:type="dxa"/>
            <w:vAlign w:val="center"/>
          </w:tcPr>
          <w:p w:rsidR="00FD3CA0" w:rsidRPr="0099307A" w:rsidRDefault="00FD3CA0"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3554" w:type="dxa"/>
          </w:tcPr>
          <w:p w:rsidR="00FD3CA0" w:rsidRPr="0099307A" w:rsidRDefault="00FD3CA0" w:rsidP="00DB6833">
            <w:pPr>
              <w:ind w:left="33" w:right="34" w:hanging="33"/>
              <w:jc w:val="both"/>
              <w:rPr>
                <w:rFonts w:ascii="Montserrat Light" w:eastAsia="Times New Roman" w:hAnsi="Montserrat Light" w:cs="Times New Roman"/>
                <w:i/>
                <w:sz w:val="16"/>
                <w:szCs w:val="16"/>
                <w:lang w:val="es-ES" w:eastAsia="es-MX"/>
              </w:rPr>
            </w:pPr>
          </w:p>
        </w:tc>
        <w:tc>
          <w:tcPr>
            <w:tcW w:w="1417" w:type="dxa"/>
            <w:vAlign w:val="center"/>
          </w:tcPr>
          <w:p w:rsidR="00FD3CA0" w:rsidRPr="0099307A" w:rsidRDefault="00FD3CA0" w:rsidP="00DB6833">
            <w:pPr>
              <w:jc w:val="center"/>
              <w:outlineLvl w:val="2"/>
              <w:rPr>
                <w:rFonts w:ascii="Montserrat Light" w:eastAsia="Times New Roman" w:hAnsi="Montserrat Light" w:cs="Times New Roman"/>
                <w:bCs/>
                <w:sz w:val="16"/>
                <w:szCs w:val="16"/>
                <w:lang w:eastAsia="es-MX"/>
              </w:rPr>
            </w:pPr>
          </w:p>
        </w:tc>
        <w:tc>
          <w:tcPr>
            <w:tcW w:w="2011" w:type="dxa"/>
            <w:vAlign w:val="center"/>
          </w:tcPr>
          <w:p w:rsidR="00FD3CA0" w:rsidRPr="0099307A" w:rsidRDefault="00FD3CA0"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944" w:type="dxa"/>
          </w:tcPr>
          <w:p w:rsidR="00FD3CA0" w:rsidRPr="0099307A" w:rsidRDefault="00FD3CA0" w:rsidP="00DB6833">
            <w:pPr>
              <w:rPr>
                <w:rFonts w:ascii="Montserrat Light" w:eastAsia="Times New Roman" w:hAnsi="Montserrat Light" w:cs="Times New Roman"/>
                <w:bCs/>
                <w:sz w:val="16"/>
                <w:szCs w:val="16"/>
                <w:lang w:eastAsia="es-MX"/>
              </w:rPr>
            </w:pPr>
          </w:p>
        </w:tc>
        <w:tc>
          <w:tcPr>
            <w:tcW w:w="2875" w:type="dxa"/>
          </w:tcPr>
          <w:p w:rsidR="00FD3CA0" w:rsidRPr="0099307A" w:rsidRDefault="00FD3CA0" w:rsidP="00DB6833">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 xml:space="preserve">En el mes de </w:t>
            </w:r>
            <w:r>
              <w:rPr>
                <w:rFonts w:ascii="Montserrat Light" w:eastAsia="Times New Roman" w:hAnsi="Montserrat Light" w:cs="Times New Roman"/>
                <w:bCs/>
                <w:sz w:val="16"/>
                <w:szCs w:val="16"/>
                <w:lang w:eastAsia="es-MX"/>
              </w:rPr>
              <w:t>marzo</w:t>
            </w:r>
            <w:r w:rsidRPr="0099307A">
              <w:rPr>
                <w:rFonts w:ascii="Montserrat Light" w:eastAsia="Times New Roman" w:hAnsi="Montserrat Light" w:cs="Times New Roman"/>
                <w:bCs/>
                <w:sz w:val="16"/>
                <w:szCs w:val="16"/>
                <w:lang w:eastAsia="es-MX"/>
              </w:rPr>
              <w:t xml:space="preserve"> el INAI no emitió ninguna resolución sobre denuncias presentadas contra este </w:t>
            </w:r>
            <w:r w:rsidRPr="0099307A">
              <w:rPr>
                <w:rFonts w:ascii="Montserrat Light" w:eastAsia="Times New Roman" w:hAnsi="Montserrat Light" w:cs="Times New Roman"/>
                <w:bCs/>
                <w:i/>
                <w:sz w:val="16"/>
                <w:szCs w:val="16"/>
                <w:lang w:eastAsia="es-MX"/>
              </w:rPr>
              <w:t>Centro Nacional de Inteligencia.</w:t>
            </w:r>
          </w:p>
        </w:tc>
      </w:tr>
      <w:tr w:rsidR="00FD3CA0" w:rsidTr="00152487">
        <w:trPr>
          <w:trHeight w:val="561"/>
        </w:trPr>
        <w:tc>
          <w:tcPr>
            <w:tcW w:w="560" w:type="dxa"/>
            <w:vAlign w:val="center"/>
          </w:tcPr>
          <w:p w:rsidR="00FD3CA0" w:rsidRPr="0099307A" w:rsidRDefault="00FD3CA0" w:rsidP="00DB6833">
            <w:pPr>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4</w:t>
            </w:r>
          </w:p>
        </w:tc>
        <w:tc>
          <w:tcPr>
            <w:tcW w:w="706" w:type="dxa"/>
            <w:vAlign w:val="center"/>
          </w:tcPr>
          <w:p w:rsidR="00FD3CA0" w:rsidRPr="0099307A" w:rsidRDefault="00FD3CA0" w:rsidP="00DB6833">
            <w:pPr>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202</w:t>
            </w:r>
            <w:r>
              <w:rPr>
                <w:rFonts w:ascii="Montserrat Light" w:eastAsia="Times New Roman" w:hAnsi="Montserrat Light" w:cs="Times New Roman"/>
                <w:bCs/>
                <w:sz w:val="16"/>
                <w:szCs w:val="16"/>
                <w:lang w:eastAsia="es-MX"/>
              </w:rPr>
              <w:t>2</w:t>
            </w:r>
          </w:p>
        </w:tc>
        <w:tc>
          <w:tcPr>
            <w:tcW w:w="1271" w:type="dxa"/>
            <w:vAlign w:val="center"/>
          </w:tcPr>
          <w:p w:rsidR="00FD3CA0" w:rsidRPr="0099307A" w:rsidRDefault="00FD3CA0" w:rsidP="00DB6833">
            <w:pPr>
              <w:jc w:val="center"/>
              <w:outlineLvl w:val="2"/>
              <w:rPr>
                <w:rFonts w:ascii="Montserrat Light" w:eastAsia="Times New Roman" w:hAnsi="Montserrat Light" w:cs="Times New Roman"/>
                <w:bCs/>
                <w:sz w:val="16"/>
                <w:szCs w:val="16"/>
                <w:lang w:eastAsia="es-MX"/>
              </w:rPr>
            </w:pPr>
          </w:p>
        </w:tc>
        <w:tc>
          <w:tcPr>
            <w:tcW w:w="3554" w:type="dxa"/>
          </w:tcPr>
          <w:p w:rsidR="00FD3CA0" w:rsidRPr="0099307A" w:rsidRDefault="00FD3CA0" w:rsidP="00DB6833">
            <w:pPr>
              <w:tabs>
                <w:tab w:val="left" w:pos="6804"/>
                <w:tab w:val="left" w:pos="7230"/>
              </w:tabs>
              <w:ind w:left="34"/>
              <w:jc w:val="both"/>
              <w:rPr>
                <w:rFonts w:ascii="Montserrat Light" w:eastAsia="Times New Roman" w:hAnsi="Montserrat Light" w:cs="Times New Roman"/>
                <w:b/>
                <w:bCs/>
                <w:sz w:val="16"/>
                <w:szCs w:val="16"/>
                <w:lang w:val="en-US" w:eastAsia="es-MX"/>
              </w:rPr>
            </w:pPr>
          </w:p>
        </w:tc>
        <w:tc>
          <w:tcPr>
            <w:tcW w:w="1417" w:type="dxa"/>
            <w:vAlign w:val="center"/>
          </w:tcPr>
          <w:p w:rsidR="00FD3CA0" w:rsidRPr="0099307A" w:rsidRDefault="00FD3CA0" w:rsidP="00DB6833">
            <w:pPr>
              <w:jc w:val="center"/>
              <w:outlineLvl w:val="2"/>
              <w:rPr>
                <w:rFonts w:ascii="Montserrat Light" w:eastAsia="Times New Roman" w:hAnsi="Montserrat Light" w:cs="Times New Roman"/>
                <w:bCs/>
                <w:sz w:val="16"/>
                <w:szCs w:val="16"/>
                <w:lang w:eastAsia="es-MX"/>
              </w:rPr>
            </w:pPr>
          </w:p>
        </w:tc>
        <w:tc>
          <w:tcPr>
            <w:tcW w:w="2011" w:type="dxa"/>
            <w:vAlign w:val="center"/>
          </w:tcPr>
          <w:p w:rsidR="00FD3CA0" w:rsidRPr="0099307A" w:rsidRDefault="00FD3CA0" w:rsidP="00DB6833">
            <w:pPr>
              <w:jc w:val="center"/>
              <w:outlineLvl w:val="2"/>
              <w:rPr>
                <w:rFonts w:ascii="Montserrat Light" w:eastAsia="Times New Roman" w:hAnsi="Montserrat Light" w:cs="Times New Roman"/>
                <w:bCs/>
                <w:sz w:val="16"/>
                <w:szCs w:val="16"/>
                <w:lang w:eastAsia="es-MX"/>
              </w:rPr>
            </w:pPr>
          </w:p>
        </w:tc>
        <w:tc>
          <w:tcPr>
            <w:tcW w:w="1944" w:type="dxa"/>
          </w:tcPr>
          <w:p w:rsidR="00FD3CA0" w:rsidRPr="0099307A" w:rsidRDefault="00FD3CA0" w:rsidP="00DB6833">
            <w:pPr>
              <w:outlineLvl w:val="2"/>
              <w:rPr>
                <w:rFonts w:ascii="Montserrat Light" w:eastAsia="Times New Roman" w:hAnsi="Montserrat Light" w:cs="Times New Roman"/>
                <w:b/>
                <w:bCs/>
                <w:sz w:val="16"/>
                <w:szCs w:val="16"/>
                <w:lang w:eastAsia="es-MX"/>
              </w:rPr>
            </w:pPr>
          </w:p>
        </w:tc>
        <w:tc>
          <w:tcPr>
            <w:tcW w:w="2875" w:type="dxa"/>
          </w:tcPr>
          <w:p w:rsidR="00FD3CA0" w:rsidRPr="0099307A" w:rsidRDefault="00FD3CA0" w:rsidP="00DB6833">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 xml:space="preserve">En el mes de </w:t>
            </w:r>
            <w:r>
              <w:rPr>
                <w:rFonts w:ascii="Montserrat Light" w:eastAsia="Times New Roman" w:hAnsi="Montserrat Light" w:cs="Times New Roman"/>
                <w:bCs/>
                <w:sz w:val="16"/>
                <w:szCs w:val="16"/>
                <w:lang w:eastAsia="es-MX"/>
              </w:rPr>
              <w:t>abril</w:t>
            </w:r>
            <w:r w:rsidRPr="0099307A">
              <w:rPr>
                <w:rFonts w:ascii="Montserrat Light" w:eastAsia="Times New Roman" w:hAnsi="Montserrat Light" w:cs="Times New Roman"/>
                <w:bCs/>
                <w:sz w:val="16"/>
                <w:szCs w:val="16"/>
                <w:lang w:eastAsia="es-MX"/>
              </w:rPr>
              <w:t xml:space="preserve"> el INAI no emitió ninguna resolución sobre denuncias presentadas contra este </w:t>
            </w:r>
            <w:r w:rsidRPr="0099307A">
              <w:rPr>
                <w:rFonts w:ascii="Montserrat Light" w:eastAsia="Times New Roman" w:hAnsi="Montserrat Light" w:cs="Times New Roman"/>
                <w:bCs/>
                <w:i/>
                <w:sz w:val="16"/>
                <w:szCs w:val="16"/>
                <w:lang w:eastAsia="es-MX"/>
              </w:rPr>
              <w:t>Centro Nacional de Inteligencia.</w:t>
            </w:r>
          </w:p>
        </w:tc>
      </w:tr>
      <w:tr w:rsidR="00FD3CA0" w:rsidTr="00152487">
        <w:trPr>
          <w:trHeight w:val="561"/>
        </w:trPr>
        <w:tc>
          <w:tcPr>
            <w:tcW w:w="560" w:type="dxa"/>
            <w:vAlign w:val="center"/>
          </w:tcPr>
          <w:p w:rsidR="00FD3CA0" w:rsidRPr="00A32FF5" w:rsidRDefault="00FD3CA0"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5</w:t>
            </w:r>
          </w:p>
        </w:tc>
        <w:tc>
          <w:tcPr>
            <w:tcW w:w="706" w:type="dxa"/>
            <w:vAlign w:val="center"/>
          </w:tcPr>
          <w:p w:rsidR="00FD3CA0" w:rsidRPr="00A32FF5" w:rsidRDefault="00FD3CA0"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2022</w:t>
            </w:r>
          </w:p>
        </w:tc>
        <w:tc>
          <w:tcPr>
            <w:tcW w:w="1271" w:type="dxa"/>
          </w:tcPr>
          <w:p w:rsidR="00FD3CA0" w:rsidRPr="00A32FF5" w:rsidRDefault="00FD3CA0"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3554" w:type="dxa"/>
          </w:tcPr>
          <w:p w:rsidR="00FD3CA0" w:rsidRPr="00A32FF5" w:rsidRDefault="00FD3CA0" w:rsidP="00DB6833">
            <w:pPr>
              <w:tabs>
                <w:tab w:val="left" w:pos="6804"/>
                <w:tab w:val="left" w:pos="7230"/>
              </w:tabs>
              <w:spacing w:line="360" w:lineRule="auto"/>
              <w:ind w:left="34"/>
              <w:jc w:val="both"/>
              <w:rPr>
                <w:rFonts w:ascii="Montserrat Light" w:eastAsia="Times New Roman" w:hAnsi="Montserrat Light" w:cs="Times New Roman"/>
                <w:i/>
                <w:sz w:val="16"/>
                <w:szCs w:val="16"/>
                <w:lang w:val="es-ES" w:eastAsia="es-MX"/>
              </w:rPr>
            </w:pPr>
          </w:p>
        </w:tc>
        <w:tc>
          <w:tcPr>
            <w:tcW w:w="1417" w:type="dxa"/>
          </w:tcPr>
          <w:p w:rsidR="00FD3CA0" w:rsidRPr="00A32FF5" w:rsidRDefault="00FD3CA0"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011" w:type="dxa"/>
          </w:tcPr>
          <w:p w:rsidR="00FD3CA0" w:rsidRPr="00A32FF5" w:rsidRDefault="00FD3CA0"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1944" w:type="dxa"/>
          </w:tcPr>
          <w:p w:rsidR="00FD3CA0" w:rsidRPr="00A32FF5" w:rsidRDefault="00FD3CA0" w:rsidP="00DB6833">
            <w:pPr>
              <w:spacing w:before="100" w:beforeAutospacing="1" w:after="100" w:afterAutospacing="1"/>
              <w:outlineLvl w:val="2"/>
              <w:rPr>
                <w:rFonts w:ascii="Montserrat Light" w:eastAsia="Times New Roman" w:hAnsi="Montserrat Light" w:cs="Times New Roman"/>
                <w:bCs/>
                <w:sz w:val="16"/>
                <w:szCs w:val="16"/>
                <w:lang w:eastAsia="es-MX"/>
              </w:rPr>
            </w:pPr>
          </w:p>
        </w:tc>
        <w:tc>
          <w:tcPr>
            <w:tcW w:w="2875" w:type="dxa"/>
          </w:tcPr>
          <w:p w:rsidR="00FD3CA0" w:rsidRPr="00A32FF5" w:rsidRDefault="00FD3CA0" w:rsidP="00DB6833">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 xml:space="preserve">En el mes de </w:t>
            </w:r>
            <w:r>
              <w:rPr>
                <w:rFonts w:ascii="Montserrat Light" w:eastAsia="Times New Roman" w:hAnsi="Montserrat Light" w:cs="Times New Roman"/>
                <w:bCs/>
                <w:sz w:val="16"/>
                <w:szCs w:val="16"/>
                <w:lang w:eastAsia="es-MX"/>
              </w:rPr>
              <w:t>mayo</w:t>
            </w:r>
            <w:r w:rsidRPr="00A32FF5">
              <w:rPr>
                <w:rFonts w:ascii="Montserrat Light" w:eastAsia="Times New Roman" w:hAnsi="Montserrat Light" w:cs="Times New Roman"/>
                <w:bCs/>
                <w:sz w:val="16"/>
                <w:szCs w:val="16"/>
                <w:lang w:eastAsia="es-MX"/>
              </w:rPr>
              <w:t xml:space="preserve"> el INAI no emitió ninguna resolución sobre denuncias presentadas contra este </w:t>
            </w:r>
            <w:r w:rsidRPr="00A32FF5">
              <w:rPr>
                <w:rFonts w:ascii="Montserrat Light" w:eastAsia="Times New Roman" w:hAnsi="Montserrat Light" w:cs="Times New Roman"/>
                <w:bCs/>
                <w:i/>
                <w:sz w:val="16"/>
                <w:szCs w:val="16"/>
                <w:lang w:eastAsia="es-MX"/>
              </w:rPr>
              <w:t>Centro Nacional de Inteligencia.</w:t>
            </w:r>
          </w:p>
        </w:tc>
      </w:tr>
      <w:tr w:rsidR="00FD3CA0" w:rsidTr="007E7A9A">
        <w:trPr>
          <w:trHeight w:val="1127"/>
        </w:trPr>
        <w:tc>
          <w:tcPr>
            <w:tcW w:w="560" w:type="dxa"/>
            <w:vAlign w:val="center"/>
          </w:tcPr>
          <w:p w:rsidR="00FD3CA0" w:rsidRPr="00A32FF5" w:rsidRDefault="00FD3CA0"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6</w:t>
            </w:r>
          </w:p>
        </w:tc>
        <w:tc>
          <w:tcPr>
            <w:tcW w:w="706" w:type="dxa"/>
            <w:vAlign w:val="center"/>
          </w:tcPr>
          <w:p w:rsidR="00FD3CA0" w:rsidRPr="00A32FF5" w:rsidRDefault="00FD3CA0"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2022</w:t>
            </w:r>
          </w:p>
        </w:tc>
        <w:tc>
          <w:tcPr>
            <w:tcW w:w="1271" w:type="dxa"/>
            <w:vAlign w:val="center"/>
          </w:tcPr>
          <w:p w:rsidR="00FD3CA0" w:rsidRPr="0099307A" w:rsidRDefault="00FD3CA0"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DIT 0</w:t>
            </w:r>
            <w:r>
              <w:rPr>
                <w:rFonts w:ascii="Montserrat Light" w:eastAsia="Times New Roman" w:hAnsi="Montserrat Light" w:cs="Times New Roman"/>
                <w:bCs/>
                <w:sz w:val="16"/>
                <w:szCs w:val="16"/>
                <w:lang w:eastAsia="es-MX"/>
              </w:rPr>
              <w:t>492-2022</w:t>
            </w:r>
          </w:p>
        </w:tc>
        <w:tc>
          <w:tcPr>
            <w:tcW w:w="3554" w:type="dxa"/>
            <w:vAlign w:val="center"/>
          </w:tcPr>
          <w:p w:rsidR="00FD3CA0" w:rsidRDefault="00FD3CA0" w:rsidP="007E7A9A">
            <w:pPr>
              <w:ind w:left="33" w:right="34" w:hanging="33"/>
              <w:jc w:val="center"/>
              <w:rPr>
                <w:rFonts w:ascii="Montserrat Light" w:eastAsia="Times New Roman" w:hAnsi="Montserrat Light" w:cs="Times New Roman"/>
                <w:i/>
                <w:sz w:val="16"/>
                <w:szCs w:val="16"/>
                <w:lang w:val="es-ES" w:eastAsia="es-MX"/>
              </w:rPr>
            </w:pPr>
            <w:r>
              <w:rPr>
                <w:rFonts w:ascii="Montserrat Light" w:eastAsia="Times New Roman" w:hAnsi="Montserrat Light" w:cs="Times New Roman"/>
                <w:i/>
                <w:sz w:val="16"/>
                <w:szCs w:val="16"/>
                <w:lang w:val="es-ES" w:eastAsia="es-MX"/>
              </w:rPr>
              <w:t>“No abre el hipervínculo al índice de Expedientes reservados 2022, 2021” (sic)</w:t>
            </w:r>
            <w:r w:rsidR="00DB6833">
              <w:rPr>
                <w:rFonts w:ascii="Montserrat Light" w:eastAsia="Times New Roman" w:hAnsi="Montserrat Light" w:cs="Times New Roman"/>
                <w:i/>
                <w:sz w:val="16"/>
                <w:szCs w:val="16"/>
                <w:lang w:val="es-ES" w:eastAsia="es-MX"/>
              </w:rPr>
              <w:t>.</w:t>
            </w:r>
          </w:p>
          <w:p w:rsidR="00DB6833" w:rsidRPr="0099307A" w:rsidRDefault="00DB6833" w:rsidP="007E7A9A">
            <w:pPr>
              <w:ind w:left="33" w:right="34" w:hanging="33"/>
              <w:jc w:val="center"/>
              <w:rPr>
                <w:rFonts w:ascii="Montserrat Light" w:eastAsia="Times New Roman" w:hAnsi="Montserrat Light" w:cs="Times New Roman"/>
                <w:i/>
                <w:sz w:val="16"/>
                <w:szCs w:val="16"/>
                <w:lang w:val="es-ES" w:eastAsia="es-MX"/>
              </w:rPr>
            </w:pPr>
          </w:p>
        </w:tc>
        <w:tc>
          <w:tcPr>
            <w:tcW w:w="1417" w:type="dxa"/>
            <w:vAlign w:val="center"/>
          </w:tcPr>
          <w:p w:rsidR="00FD3CA0" w:rsidRPr="0099307A" w:rsidRDefault="00FD3CA0" w:rsidP="00DB6833">
            <w:pPr>
              <w:jc w:val="center"/>
              <w:outlineLvl w:val="2"/>
              <w:rPr>
                <w:rFonts w:ascii="Montserrat Light" w:eastAsia="Times New Roman" w:hAnsi="Montserrat Light" w:cs="Times New Roman"/>
                <w:bCs/>
                <w:sz w:val="16"/>
                <w:szCs w:val="16"/>
                <w:lang w:eastAsia="es-MX"/>
              </w:rPr>
            </w:pPr>
            <w:r w:rsidRPr="0099307A">
              <w:rPr>
                <w:rFonts w:ascii="Montserrat Light" w:eastAsia="Times New Roman" w:hAnsi="Montserrat Light" w:cs="Times New Roman"/>
                <w:bCs/>
                <w:sz w:val="16"/>
                <w:szCs w:val="16"/>
                <w:lang w:eastAsia="es-MX"/>
              </w:rPr>
              <w:t>Infundada</w:t>
            </w:r>
          </w:p>
        </w:tc>
        <w:tc>
          <w:tcPr>
            <w:tcW w:w="2011" w:type="dxa"/>
            <w:vAlign w:val="center"/>
          </w:tcPr>
          <w:p w:rsidR="00FD3CA0" w:rsidRPr="0099307A" w:rsidRDefault="00DB6833"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 xml:space="preserve"> 14/06/2022</w:t>
            </w:r>
          </w:p>
        </w:tc>
        <w:tc>
          <w:tcPr>
            <w:tcW w:w="1944" w:type="dxa"/>
          </w:tcPr>
          <w:p w:rsidR="00FD3CA0" w:rsidRPr="007E7A9A" w:rsidRDefault="00CB075D" w:rsidP="00BB5F59">
            <w:pPr>
              <w:rPr>
                <w:rFonts w:ascii="Montserrat Light" w:eastAsia="Times New Roman" w:hAnsi="Montserrat Light" w:cs="Times New Roman"/>
                <w:bCs/>
                <w:sz w:val="18"/>
                <w:szCs w:val="18"/>
                <w:lang w:val="es-ES" w:eastAsia="es-MX"/>
              </w:rPr>
            </w:pPr>
            <w:hyperlink r:id="rId6" w:history="1">
              <w:r w:rsidR="00DB6833" w:rsidRPr="007E7A9A">
                <w:rPr>
                  <w:rFonts w:ascii="Montserrat" w:eastAsia="Calibri" w:hAnsi="Montserrat" w:cs="Times New Roman"/>
                  <w:color w:val="0563C1"/>
                  <w:sz w:val="18"/>
                  <w:szCs w:val="18"/>
                  <w:u w:val="single"/>
                  <w:lang w:val="es-ES" w:eastAsia="es-MX"/>
                </w:rPr>
                <w:t>http://www.cni.gob.mx/actas/Resolución-DIT0492-2022CNI.pdf</w:t>
              </w:r>
            </w:hyperlink>
          </w:p>
        </w:tc>
        <w:tc>
          <w:tcPr>
            <w:tcW w:w="2875" w:type="dxa"/>
          </w:tcPr>
          <w:p w:rsidR="00FD3CA0" w:rsidRPr="00A32FF5" w:rsidRDefault="00FD3CA0" w:rsidP="00DB6833">
            <w:pPr>
              <w:spacing w:before="100" w:beforeAutospacing="1" w:after="100" w:afterAutospacing="1"/>
              <w:jc w:val="both"/>
              <w:outlineLvl w:val="2"/>
              <w:rPr>
                <w:rFonts w:ascii="Montserrat Light" w:eastAsia="Times New Roman" w:hAnsi="Montserrat Light" w:cs="Times New Roman"/>
                <w:bCs/>
                <w:sz w:val="16"/>
                <w:szCs w:val="16"/>
                <w:lang w:eastAsia="es-MX"/>
              </w:rPr>
            </w:pPr>
          </w:p>
        </w:tc>
      </w:tr>
      <w:tr w:rsidR="00776142" w:rsidRPr="004B44D5" w:rsidTr="00152487">
        <w:trPr>
          <w:trHeight w:val="912"/>
        </w:trPr>
        <w:tc>
          <w:tcPr>
            <w:tcW w:w="560" w:type="dxa"/>
            <w:shd w:val="clear" w:color="auto" w:fill="7030A0"/>
            <w:vAlign w:val="center"/>
          </w:tcPr>
          <w:p w:rsidR="00776142" w:rsidRPr="004B44D5" w:rsidRDefault="00776142" w:rsidP="00776142">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bookmarkStart w:id="0" w:name="_Hlk126947155"/>
            <w:r w:rsidRPr="004B44D5">
              <w:rPr>
                <w:rFonts w:ascii="Monserrat light" w:eastAsia="Times New Roman" w:hAnsi="Monserrat light" w:cs="Times New Roman"/>
                <w:b/>
                <w:bCs/>
                <w:color w:val="FFFFFF" w:themeColor="background1"/>
                <w:sz w:val="18"/>
                <w:szCs w:val="18"/>
                <w:lang w:eastAsia="es-MX"/>
              </w:rPr>
              <w:lastRenderedPageBreak/>
              <w:t>No.</w:t>
            </w:r>
          </w:p>
        </w:tc>
        <w:tc>
          <w:tcPr>
            <w:tcW w:w="706" w:type="dxa"/>
            <w:shd w:val="clear" w:color="auto" w:fill="7030A0"/>
            <w:vAlign w:val="center"/>
          </w:tcPr>
          <w:p w:rsidR="00776142" w:rsidRPr="004B44D5" w:rsidRDefault="00776142" w:rsidP="00776142">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Año</w:t>
            </w:r>
          </w:p>
        </w:tc>
        <w:tc>
          <w:tcPr>
            <w:tcW w:w="1271" w:type="dxa"/>
            <w:shd w:val="clear" w:color="auto" w:fill="7030A0"/>
            <w:vAlign w:val="center"/>
          </w:tcPr>
          <w:p w:rsidR="00776142" w:rsidRPr="004B44D5" w:rsidRDefault="00776142" w:rsidP="00776142">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Número de identificación de la denuncia</w:t>
            </w:r>
          </w:p>
        </w:tc>
        <w:tc>
          <w:tcPr>
            <w:tcW w:w="3554" w:type="dxa"/>
            <w:shd w:val="clear" w:color="auto" w:fill="7030A0"/>
            <w:vAlign w:val="center"/>
          </w:tcPr>
          <w:p w:rsidR="00776142" w:rsidRPr="004B44D5" w:rsidRDefault="00776142" w:rsidP="00776142">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Objeto de la denuncia</w:t>
            </w:r>
          </w:p>
        </w:tc>
        <w:tc>
          <w:tcPr>
            <w:tcW w:w="1417" w:type="dxa"/>
            <w:shd w:val="clear" w:color="auto" w:fill="7030A0"/>
            <w:vAlign w:val="center"/>
          </w:tcPr>
          <w:p w:rsidR="00776142" w:rsidRPr="004B44D5" w:rsidRDefault="00776142" w:rsidP="00776142">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Sentido de la resolución emitida por el INAI</w:t>
            </w:r>
          </w:p>
        </w:tc>
        <w:tc>
          <w:tcPr>
            <w:tcW w:w="2011" w:type="dxa"/>
            <w:shd w:val="clear" w:color="auto" w:fill="7030A0"/>
            <w:vAlign w:val="center"/>
          </w:tcPr>
          <w:p w:rsidR="00776142" w:rsidRPr="004B44D5" w:rsidRDefault="00776142" w:rsidP="00776142">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Fecha en que fue emitida la resolución del INAI</w:t>
            </w:r>
          </w:p>
        </w:tc>
        <w:tc>
          <w:tcPr>
            <w:tcW w:w="1944" w:type="dxa"/>
            <w:shd w:val="clear" w:color="auto" w:fill="7030A0"/>
            <w:vAlign w:val="center"/>
          </w:tcPr>
          <w:p w:rsidR="00776142" w:rsidRPr="004B44D5" w:rsidRDefault="00776142" w:rsidP="00776142">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Documento de la denuncia</w:t>
            </w:r>
          </w:p>
        </w:tc>
        <w:tc>
          <w:tcPr>
            <w:tcW w:w="2875" w:type="dxa"/>
            <w:shd w:val="clear" w:color="auto" w:fill="7030A0"/>
            <w:vAlign w:val="center"/>
          </w:tcPr>
          <w:p w:rsidR="00776142" w:rsidRPr="004B44D5" w:rsidRDefault="00776142" w:rsidP="00776142">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Nota</w:t>
            </w:r>
          </w:p>
        </w:tc>
      </w:tr>
      <w:bookmarkEnd w:id="0"/>
      <w:tr w:rsidR="00C8022E" w:rsidTr="00152487">
        <w:trPr>
          <w:trHeight w:val="1127"/>
        </w:trPr>
        <w:tc>
          <w:tcPr>
            <w:tcW w:w="560" w:type="dxa"/>
            <w:vAlign w:val="center"/>
          </w:tcPr>
          <w:p w:rsidR="00C8022E" w:rsidRPr="00A32FF5"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7</w:t>
            </w:r>
          </w:p>
        </w:tc>
        <w:tc>
          <w:tcPr>
            <w:tcW w:w="706" w:type="dxa"/>
            <w:vAlign w:val="center"/>
          </w:tcPr>
          <w:p w:rsidR="00C8022E"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271" w:type="dxa"/>
            <w:vAlign w:val="center"/>
          </w:tcPr>
          <w:p w:rsidR="00C8022E" w:rsidRPr="0099307A"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3554" w:type="dxa"/>
          </w:tcPr>
          <w:p w:rsidR="00C8022E" w:rsidRDefault="00C8022E" w:rsidP="00DB6833">
            <w:pPr>
              <w:ind w:left="33" w:right="34" w:hanging="33"/>
              <w:jc w:val="both"/>
              <w:rPr>
                <w:rFonts w:ascii="Montserrat Light" w:eastAsia="Times New Roman" w:hAnsi="Montserrat Light" w:cs="Times New Roman"/>
                <w:i/>
                <w:sz w:val="16"/>
                <w:szCs w:val="16"/>
                <w:lang w:val="es-ES" w:eastAsia="es-MX"/>
              </w:rPr>
            </w:pPr>
          </w:p>
        </w:tc>
        <w:tc>
          <w:tcPr>
            <w:tcW w:w="1417" w:type="dxa"/>
            <w:vAlign w:val="center"/>
          </w:tcPr>
          <w:p w:rsidR="00C8022E" w:rsidRPr="0099307A" w:rsidRDefault="00C8022E" w:rsidP="00DB6833">
            <w:pPr>
              <w:jc w:val="center"/>
              <w:outlineLvl w:val="2"/>
              <w:rPr>
                <w:rFonts w:ascii="Montserrat Light" w:eastAsia="Times New Roman" w:hAnsi="Montserrat Light" w:cs="Times New Roman"/>
                <w:bCs/>
                <w:sz w:val="16"/>
                <w:szCs w:val="16"/>
                <w:lang w:eastAsia="es-MX"/>
              </w:rPr>
            </w:pPr>
          </w:p>
        </w:tc>
        <w:tc>
          <w:tcPr>
            <w:tcW w:w="2011" w:type="dxa"/>
            <w:vAlign w:val="center"/>
          </w:tcPr>
          <w:p w:rsidR="00C8022E"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944" w:type="dxa"/>
          </w:tcPr>
          <w:p w:rsidR="00C8022E" w:rsidRDefault="00C8022E" w:rsidP="00BB5F59"/>
        </w:tc>
        <w:tc>
          <w:tcPr>
            <w:tcW w:w="2875" w:type="dxa"/>
          </w:tcPr>
          <w:p w:rsidR="00C8022E" w:rsidRPr="00A32FF5" w:rsidRDefault="00186583" w:rsidP="00DB6833">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 xml:space="preserve">En el mes de </w:t>
            </w:r>
            <w:r w:rsidR="006724E1">
              <w:rPr>
                <w:rFonts w:ascii="Montserrat Light" w:eastAsia="Times New Roman" w:hAnsi="Montserrat Light" w:cs="Times New Roman"/>
                <w:bCs/>
                <w:sz w:val="16"/>
                <w:szCs w:val="16"/>
                <w:lang w:eastAsia="es-MX"/>
              </w:rPr>
              <w:t>julio</w:t>
            </w:r>
            <w:r w:rsidRPr="00A32FF5">
              <w:rPr>
                <w:rFonts w:ascii="Montserrat Light" w:eastAsia="Times New Roman" w:hAnsi="Montserrat Light" w:cs="Times New Roman"/>
                <w:bCs/>
                <w:sz w:val="16"/>
                <w:szCs w:val="16"/>
                <w:lang w:eastAsia="es-MX"/>
              </w:rPr>
              <w:t xml:space="preserve"> el INAI no emitió ninguna resolución sobre denuncias presentadas contra este </w:t>
            </w:r>
            <w:r w:rsidRPr="00A32FF5">
              <w:rPr>
                <w:rFonts w:ascii="Montserrat Light" w:eastAsia="Times New Roman" w:hAnsi="Montserrat Light" w:cs="Times New Roman"/>
                <w:bCs/>
                <w:i/>
                <w:sz w:val="16"/>
                <w:szCs w:val="16"/>
                <w:lang w:eastAsia="es-MX"/>
              </w:rPr>
              <w:t>Centro Nacional de Inteligencia.</w:t>
            </w:r>
          </w:p>
        </w:tc>
      </w:tr>
      <w:tr w:rsidR="00C8022E" w:rsidTr="00152487">
        <w:trPr>
          <w:trHeight w:val="1127"/>
        </w:trPr>
        <w:tc>
          <w:tcPr>
            <w:tcW w:w="560" w:type="dxa"/>
            <w:vAlign w:val="center"/>
          </w:tcPr>
          <w:p w:rsidR="00C8022E" w:rsidRPr="00A32FF5"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8</w:t>
            </w:r>
          </w:p>
        </w:tc>
        <w:tc>
          <w:tcPr>
            <w:tcW w:w="706" w:type="dxa"/>
            <w:vAlign w:val="center"/>
          </w:tcPr>
          <w:p w:rsidR="00C8022E"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271" w:type="dxa"/>
            <w:vAlign w:val="center"/>
          </w:tcPr>
          <w:p w:rsidR="00C8022E" w:rsidRPr="0099307A"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3554" w:type="dxa"/>
          </w:tcPr>
          <w:p w:rsidR="00C8022E" w:rsidRDefault="00C8022E" w:rsidP="00DB6833">
            <w:pPr>
              <w:ind w:left="33" w:right="34" w:hanging="33"/>
              <w:jc w:val="both"/>
              <w:rPr>
                <w:rFonts w:ascii="Montserrat Light" w:eastAsia="Times New Roman" w:hAnsi="Montserrat Light" w:cs="Times New Roman"/>
                <w:i/>
                <w:sz w:val="16"/>
                <w:szCs w:val="16"/>
                <w:lang w:val="es-ES" w:eastAsia="es-MX"/>
              </w:rPr>
            </w:pPr>
          </w:p>
        </w:tc>
        <w:tc>
          <w:tcPr>
            <w:tcW w:w="1417" w:type="dxa"/>
            <w:vAlign w:val="center"/>
          </w:tcPr>
          <w:p w:rsidR="00C8022E" w:rsidRPr="0099307A" w:rsidRDefault="00C8022E" w:rsidP="00DB6833">
            <w:pPr>
              <w:jc w:val="center"/>
              <w:outlineLvl w:val="2"/>
              <w:rPr>
                <w:rFonts w:ascii="Montserrat Light" w:eastAsia="Times New Roman" w:hAnsi="Montserrat Light" w:cs="Times New Roman"/>
                <w:bCs/>
                <w:sz w:val="16"/>
                <w:szCs w:val="16"/>
                <w:lang w:eastAsia="es-MX"/>
              </w:rPr>
            </w:pPr>
          </w:p>
        </w:tc>
        <w:tc>
          <w:tcPr>
            <w:tcW w:w="2011" w:type="dxa"/>
            <w:vAlign w:val="center"/>
          </w:tcPr>
          <w:p w:rsidR="00C8022E"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944" w:type="dxa"/>
          </w:tcPr>
          <w:p w:rsidR="00C8022E" w:rsidRDefault="00C8022E" w:rsidP="00BB5F59"/>
        </w:tc>
        <w:tc>
          <w:tcPr>
            <w:tcW w:w="2875" w:type="dxa"/>
          </w:tcPr>
          <w:p w:rsidR="00C8022E" w:rsidRPr="00A32FF5" w:rsidRDefault="006724E1" w:rsidP="00DB6833">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 xml:space="preserve">En el mes de </w:t>
            </w:r>
            <w:r>
              <w:rPr>
                <w:rFonts w:ascii="Montserrat Light" w:eastAsia="Times New Roman" w:hAnsi="Montserrat Light" w:cs="Times New Roman"/>
                <w:bCs/>
                <w:sz w:val="16"/>
                <w:szCs w:val="16"/>
                <w:lang w:eastAsia="es-MX"/>
              </w:rPr>
              <w:t>agosto</w:t>
            </w:r>
            <w:r w:rsidRPr="00A32FF5">
              <w:rPr>
                <w:rFonts w:ascii="Montserrat Light" w:eastAsia="Times New Roman" w:hAnsi="Montserrat Light" w:cs="Times New Roman"/>
                <w:bCs/>
                <w:sz w:val="16"/>
                <w:szCs w:val="16"/>
                <w:lang w:eastAsia="es-MX"/>
              </w:rPr>
              <w:t xml:space="preserve"> el INAI no emitió ninguna resolución sobre denuncias presentadas contra este </w:t>
            </w:r>
            <w:r w:rsidRPr="00A32FF5">
              <w:rPr>
                <w:rFonts w:ascii="Montserrat Light" w:eastAsia="Times New Roman" w:hAnsi="Montserrat Light" w:cs="Times New Roman"/>
                <w:bCs/>
                <w:i/>
                <w:sz w:val="16"/>
                <w:szCs w:val="16"/>
                <w:lang w:eastAsia="es-MX"/>
              </w:rPr>
              <w:t>Centro Nacional de Inteligencia.</w:t>
            </w:r>
          </w:p>
        </w:tc>
      </w:tr>
      <w:tr w:rsidR="00C8022E" w:rsidTr="00152487">
        <w:trPr>
          <w:trHeight w:val="1127"/>
        </w:trPr>
        <w:tc>
          <w:tcPr>
            <w:tcW w:w="560" w:type="dxa"/>
            <w:vAlign w:val="center"/>
          </w:tcPr>
          <w:p w:rsidR="00C8022E" w:rsidRPr="00A32FF5"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9</w:t>
            </w:r>
          </w:p>
        </w:tc>
        <w:tc>
          <w:tcPr>
            <w:tcW w:w="706" w:type="dxa"/>
            <w:vAlign w:val="center"/>
          </w:tcPr>
          <w:p w:rsidR="00C8022E"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271" w:type="dxa"/>
            <w:vAlign w:val="center"/>
          </w:tcPr>
          <w:p w:rsidR="00C8022E" w:rsidRPr="0099307A"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3554" w:type="dxa"/>
          </w:tcPr>
          <w:p w:rsidR="00C8022E" w:rsidRDefault="00C8022E" w:rsidP="00DB6833">
            <w:pPr>
              <w:ind w:left="33" w:right="34" w:hanging="33"/>
              <w:jc w:val="both"/>
              <w:rPr>
                <w:rFonts w:ascii="Montserrat Light" w:eastAsia="Times New Roman" w:hAnsi="Montserrat Light" w:cs="Times New Roman"/>
                <w:i/>
                <w:sz w:val="16"/>
                <w:szCs w:val="16"/>
                <w:lang w:val="es-ES" w:eastAsia="es-MX"/>
              </w:rPr>
            </w:pPr>
          </w:p>
        </w:tc>
        <w:tc>
          <w:tcPr>
            <w:tcW w:w="1417" w:type="dxa"/>
            <w:vAlign w:val="center"/>
          </w:tcPr>
          <w:p w:rsidR="00C8022E" w:rsidRPr="0099307A" w:rsidRDefault="00C8022E" w:rsidP="00DB6833">
            <w:pPr>
              <w:jc w:val="center"/>
              <w:outlineLvl w:val="2"/>
              <w:rPr>
                <w:rFonts w:ascii="Montserrat Light" w:eastAsia="Times New Roman" w:hAnsi="Montserrat Light" w:cs="Times New Roman"/>
                <w:bCs/>
                <w:sz w:val="16"/>
                <w:szCs w:val="16"/>
                <w:lang w:eastAsia="es-MX"/>
              </w:rPr>
            </w:pPr>
          </w:p>
        </w:tc>
        <w:tc>
          <w:tcPr>
            <w:tcW w:w="2011" w:type="dxa"/>
            <w:vAlign w:val="center"/>
          </w:tcPr>
          <w:p w:rsidR="00C8022E"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944" w:type="dxa"/>
          </w:tcPr>
          <w:p w:rsidR="00C8022E" w:rsidRDefault="00C8022E" w:rsidP="00BB5F59"/>
        </w:tc>
        <w:tc>
          <w:tcPr>
            <w:tcW w:w="2875" w:type="dxa"/>
          </w:tcPr>
          <w:p w:rsidR="00C8022E" w:rsidRPr="00A32FF5" w:rsidRDefault="006724E1" w:rsidP="00DB6833">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 xml:space="preserve">En el mes de </w:t>
            </w:r>
            <w:r>
              <w:rPr>
                <w:rFonts w:ascii="Montserrat Light" w:eastAsia="Times New Roman" w:hAnsi="Montserrat Light" w:cs="Times New Roman"/>
                <w:bCs/>
                <w:sz w:val="16"/>
                <w:szCs w:val="16"/>
                <w:lang w:eastAsia="es-MX"/>
              </w:rPr>
              <w:t>septiembre</w:t>
            </w:r>
            <w:r w:rsidRPr="00A32FF5">
              <w:rPr>
                <w:rFonts w:ascii="Montserrat Light" w:eastAsia="Times New Roman" w:hAnsi="Montserrat Light" w:cs="Times New Roman"/>
                <w:bCs/>
                <w:sz w:val="16"/>
                <w:szCs w:val="16"/>
                <w:lang w:eastAsia="es-MX"/>
              </w:rPr>
              <w:t xml:space="preserve"> el INAI no emitió ninguna resolución sobre denuncias presentadas contra este </w:t>
            </w:r>
            <w:r w:rsidRPr="00A32FF5">
              <w:rPr>
                <w:rFonts w:ascii="Montserrat Light" w:eastAsia="Times New Roman" w:hAnsi="Montserrat Light" w:cs="Times New Roman"/>
                <w:bCs/>
                <w:i/>
                <w:sz w:val="16"/>
                <w:szCs w:val="16"/>
                <w:lang w:eastAsia="es-MX"/>
              </w:rPr>
              <w:t>Centro Nacional de Inteligencia.</w:t>
            </w:r>
          </w:p>
        </w:tc>
      </w:tr>
      <w:tr w:rsidR="00C8022E" w:rsidTr="00152487">
        <w:trPr>
          <w:trHeight w:val="1127"/>
        </w:trPr>
        <w:tc>
          <w:tcPr>
            <w:tcW w:w="560" w:type="dxa"/>
            <w:vAlign w:val="center"/>
          </w:tcPr>
          <w:p w:rsidR="00C8022E" w:rsidRPr="00A32FF5"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10</w:t>
            </w:r>
          </w:p>
        </w:tc>
        <w:tc>
          <w:tcPr>
            <w:tcW w:w="706" w:type="dxa"/>
            <w:vAlign w:val="center"/>
          </w:tcPr>
          <w:p w:rsidR="00C8022E"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271" w:type="dxa"/>
            <w:vAlign w:val="center"/>
          </w:tcPr>
          <w:p w:rsidR="00C8022E" w:rsidRPr="0099307A"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3554" w:type="dxa"/>
          </w:tcPr>
          <w:p w:rsidR="00C8022E" w:rsidRDefault="00C8022E" w:rsidP="00DB6833">
            <w:pPr>
              <w:ind w:left="33" w:right="34" w:hanging="33"/>
              <w:jc w:val="both"/>
              <w:rPr>
                <w:rFonts w:ascii="Montserrat Light" w:eastAsia="Times New Roman" w:hAnsi="Montserrat Light" w:cs="Times New Roman"/>
                <w:i/>
                <w:sz w:val="16"/>
                <w:szCs w:val="16"/>
                <w:lang w:val="es-ES" w:eastAsia="es-MX"/>
              </w:rPr>
            </w:pPr>
          </w:p>
        </w:tc>
        <w:tc>
          <w:tcPr>
            <w:tcW w:w="1417" w:type="dxa"/>
            <w:vAlign w:val="center"/>
          </w:tcPr>
          <w:p w:rsidR="00C8022E" w:rsidRPr="0099307A" w:rsidRDefault="00C8022E" w:rsidP="00DB6833">
            <w:pPr>
              <w:jc w:val="center"/>
              <w:outlineLvl w:val="2"/>
              <w:rPr>
                <w:rFonts w:ascii="Montserrat Light" w:eastAsia="Times New Roman" w:hAnsi="Montserrat Light" w:cs="Times New Roman"/>
                <w:bCs/>
                <w:sz w:val="16"/>
                <w:szCs w:val="16"/>
                <w:lang w:eastAsia="es-MX"/>
              </w:rPr>
            </w:pPr>
          </w:p>
        </w:tc>
        <w:tc>
          <w:tcPr>
            <w:tcW w:w="2011" w:type="dxa"/>
            <w:vAlign w:val="center"/>
          </w:tcPr>
          <w:p w:rsidR="00C8022E"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944" w:type="dxa"/>
          </w:tcPr>
          <w:p w:rsidR="00C8022E" w:rsidRDefault="00C8022E" w:rsidP="00BB5F59"/>
        </w:tc>
        <w:tc>
          <w:tcPr>
            <w:tcW w:w="2875" w:type="dxa"/>
          </w:tcPr>
          <w:p w:rsidR="00C8022E" w:rsidRPr="00A32FF5" w:rsidRDefault="006724E1" w:rsidP="00DB6833">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 xml:space="preserve">En el mes de </w:t>
            </w:r>
            <w:r>
              <w:rPr>
                <w:rFonts w:ascii="Montserrat Light" w:eastAsia="Times New Roman" w:hAnsi="Montserrat Light" w:cs="Times New Roman"/>
                <w:bCs/>
                <w:sz w:val="16"/>
                <w:szCs w:val="16"/>
                <w:lang w:eastAsia="es-MX"/>
              </w:rPr>
              <w:t>octubre</w:t>
            </w:r>
            <w:r w:rsidRPr="00A32FF5">
              <w:rPr>
                <w:rFonts w:ascii="Montserrat Light" w:eastAsia="Times New Roman" w:hAnsi="Montserrat Light" w:cs="Times New Roman"/>
                <w:bCs/>
                <w:sz w:val="16"/>
                <w:szCs w:val="16"/>
                <w:lang w:eastAsia="es-MX"/>
              </w:rPr>
              <w:t xml:space="preserve"> el INAI no emitió ninguna resolución sobre denuncias presentadas contra este </w:t>
            </w:r>
            <w:r w:rsidRPr="00A32FF5">
              <w:rPr>
                <w:rFonts w:ascii="Montserrat Light" w:eastAsia="Times New Roman" w:hAnsi="Montserrat Light" w:cs="Times New Roman"/>
                <w:bCs/>
                <w:i/>
                <w:sz w:val="16"/>
                <w:szCs w:val="16"/>
                <w:lang w:eastAsia="es-MX"/>
              </w:rPr>
              <w:t>Centro Nacional de Inteligencia.</w:t>
            </w:r>
          </w:p>
        </w:tc>
      </w:tr>
      <w:tr w:rsidR="00C8022E" w:rsidTr="00152487">
        <w:trPr>
          <w:trHeight w:val="1127"/>
        </w:trPr>
        <w:tc>
          <w:tcPr>
            <w:tcW w:w="560" w:type="dxa"/>
            <w:vAlign w:val="center"/>
          </w:tcPr>
          <w:p w:rsidR="00C8022E" w:rsidRPr="00A32FF5"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11</w:t>
            </w:r>
          </w:p>
        </w:tc>
        <w:tc>
          <w:tcPr>
            <w:tcW w:w="706" w:type="dxa"/>
            <w:vAlign w:val="center"/>
          </w:tcPr>
          <w:p w:rsidR="00C8022E"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271" w:type="dxa"/>
            <w:vAlign w:val="center"/>
          </w:tcPr>
          <w:p w:rsidR="00C8022E" w:rsidRPr="0099307A"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3554" w:type="dxa"/>
          </w:tcPr>
          <w:p w:rsidR="00C8022E" w:rsidRDefault="00C8022E" w:rsidP="00DB6833">
            <w:pPr>
              <w:ind w:left="33" w:right="34" w:hanging="33"/>
              <w:jc w:val="both"/>
              <w:rPr>
                <w:rFonts w:ascii="Montserrat Light" w:eastAsia="Times New Roman" w:hAnsi="Montserrat Light" w:cs="Times New Roman"/>
                <w:i/>
                <w:sz w:val="16"/>
                <w:szCs w:val="16"/>
                <w:lang w:val="es-ES" w:eastAsia="es-MX"/>
              </w:rPr>
            </w:pPr>
          </w:p>
        </w:tc>
        <w:tc>
          <w:tcPr>
            <w:tcW w:w="1417" w:type="dxa"/>
            <w:vAlign w:val="center"/>
          </w:tcPr>
          <w:p w:rsidR="00C8022E" w:rsidRPr="0099307A" w:rsidRDefault="00C8022E" w:rsidP="00DB6833">
            <w:pPr>
              <w:jc w:val="center"/>
              <w:outlineLvl w:val="2"/>
              <w:rPr>
                <w:rFonts w:ascii="Montserrat Light" w:eastAsia="Times New Roman" w:hAnsi="Montserrat Light" w:cs="Times New Roman"/>
                <w:bCs/>
                <w:sz w:val="16"/>
                <w:szCs w:val="16"/>
                <w:lang w:eastAsia="es-MX"/>
              </w:rPr>
            </w:pPr>
          </w:p>
        </w:tc>
        <w:tc>
          <w:tcPr>
            <w:tcW w:w="2011" w:type="dxa"/>
            <w:vAlign w:val="center"/>
          </w:tcPr>
          <w:p w:rsidR="00C8022E" w:rsidRDefault="00C8022E" w:rsidP="00DB683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944" w:type="dxa"/>
          </w:tcPr>
          <w:p w:rsidR="00C8022E" w:rsidRPr="00CC6FF3" w:rsidRDefault="00C8022E" w:rsidP="00BB5F59">
            <w:pPr>
              <w:rPr>
                <w:sz w:val="20"/>
                <w:szCs w:val="20"/>
              </w:rPr>
            </w:pPr>
          </w:p>
        </w:tc>
        <w:tc>
          <w:tcPr>
            <w:tcW w:w="2875" w:type="dxa"/>
          </w:tcPr>
          <w:p w:rsidR="00C8022E" w:rsidRPr="00A32FF5" w:rsidRDefault="006724E1" w:rsidP="00DB6833">
            <w:pPr>
              <w:spacing w:before="100" w:beforeAutospacing="1" w:after="100" w:afterAutospacing="1"/>
              <w:jc w:val="both"/>
              <w:outlineLvl w:val="2"/>
              <w:rPr>
                <w:rFonts w:ascii="Montserrat Light" w:eastAsia="Times New Roman" w:hAnsi="Montserrat Light" w:cs="Times New Roman"/>
                <w:bCs/>
                <w:sz w:val="16"/>
                <w:szCs w:val="16"/>
                <w:lang w:eastAsia="es-MX"/>
              </w:rPr>
            </w:pPr>
            <w:r w:rsidRPr="00A32FF5">
              <w:rPr>
                <w:rFonts w:ascii="Montserrat Light" w:eastAsia="Times New Roman" w:hAnsi="Montserrat Light" w:cs="Times New Roman"/>
                <w:bCs/>
                <w:sz w:val="16"/>
                <w:szCs w:val="16"/>
                <w:lang w:eastAsia="es-MX"/>
              </w:rPr>
              <w:t xml:space="preserve">En el mes de </w:t>
            </w:r>
            <w:r>
              <w:rPr>
                <w:rFonts w:ascii="Montserrat Light" w:eastAsia="Times New Roman" w:hAnsi="Montserrat Light" w:cs="Times New Roman"/>
                <w:bCs/>
                <w:sz w:val="16"/>
                <w:szCs w:val="16"/>
                <w:lang w:eastAsia="es-MX"/>
              </w:rPr>
              <w:t>noviembre</w:t>
            </w:r>
            <w:r w:rsidRPr="00A32FF5">
              <w:rPr>
                <w:rFonts w:ascii="Montserrat Light" w:eastAsia="Times New Roman" w:hAnsi="Montserrat Light" w:cs="Times New Roman"/>
                <w:bCs/>
                <w:sz w:val="16"/>
                <w:szCs w:val="16"/>
                <w:lang w:eastAsia="es-MX"/>
              </w:rPr>
              <w:t xml:space="preserve"> el INAI no emitió ninguna resolución sobre denuncias presentadas contra este </w:t>
            </w:r>
            <w:r w:rsidRPr="00A32FF5">
              <w:rPr>
                <w:rFonts w:ascii="Montserrat Light" w:eastAsia="Times New Roman" w:hAnsi="Montserrat Light" w:cs="Times New Roman"/>
                <w:bCs/>
                <w:i/>
                <w:sz w:val="16"/>
                <w:szCs w:val="16"/>
                <w:lang w:eastAsia="es-MX"/>
              </w:rPr>
              <w:t>Centro Nacional de Inteligencia.</w:t>
            </w:r>
          </w:p>
        </w:tc>
      </w:tr>
    </w:tbl>
    <w:p w:rsidR="007E7A9A" w:rsidRDefault="007E7A9A">
      <w:r>
        <w:br w:type="page"/>
      </w:r>
    </w:p>
    <w:tbl>
      <w:tblPr>
        <w:tblStyle w:val="Tablaconcuadrcula"/>
        <w:tblpPr w:leftFromText="141" w:rightFromText="141" w:vertAnchor="text" w:horzAnchor="margin" w:tblpX="-357" w:tblpY="189"/>
        <w:tblW w:w="14338" w:type="dxa"/>
        <w:tblLayout w:type="fixed"/>
        <w:tblLook w:val="04A0" w:firstRow="1" w:lastRow="0" w:firstColumn="1" w:lastColumn="0" w:noHBand="0" w:noVBand="1"/>
      </w:tblPr>
      <w:tblGrid>
        <w:gridCol w:w="560"/>
        <w:gridCol w:w="706"/>
        <w:gridCol w:w="1271"/>
        <w:gridCol w:w="4404"/>
        <w:gridCol w:w="1559"/>
        <w:gridCol w:w="1276"/>
        <w:gridCol w:w="1687"/>
        <w:gridCol w:w="2875"/>
      </w:tblGrid>
      <w:tr w:rsidR="007E7A9A" w:rsidRPr="004B44D5" w:rsidTr="005B2B67">
        <w:trPr>
          <w:trHeight w:val="912"/>
        </w:trPr>
        <w:tc>
          <w:tcPr>
            <w:tcW w:w="560" w:type="dxa"/>
            <w:shd w:val="clear" w:color="auto" w:fill="7030A0"/>
            <w:vAlign w:val="center"/>
          </w:tcPr>
          <w:p w:rsidR="007E7A9A" w:rsidRPr="004B44D5" w:rsidRDefault="007E7A9A" w:rsidP="007E7A9A">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lastRenderedPageBreak/>
              <w:t>No.</w:t>
            </w:r>
          </w:p>
        </w:tc>
        <w:tc>
          <w:tcPr>
            <w:tcW w:w="706" w:type="dxa"/>
            <w:shd w:val="clear" w:color="auto" w:fill="7030A0"/>
            <w:vAlign w:val="center"/>
          </w:tcPr>
          <w:p w:rsidR="007E7A9A" w:rsidRPr="004B44D5" w:rsidRDefault="007E7A9A" w:rsidP="007E7A9A">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Año</w:t>
            </w:r>
          </w:p>
        </w:tc>
        <w:tc>
          <w:tcPr>
            <w:tcW w:w="1271" w:type="dxa"/>
            <w:shd w:val="clear" w:color="auto" w:fill="7030A0"/>
            <w:vAlign w:val="center"/>
          </w:tcPr>
          <w:p w:rsidR="007E7A9A" w:rsidRPr="004B44D5" w:rsidRDefault="007E7A9A" w:rsidP="007E7A9A">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Número de identificación de la denuncia</w:t>
            </w:r>
          </w:p>
        </w:tc>
        <w:tc>
          <w:tcPr>
            <w:tcW w:w="4404" w:type="dxa"/>
            <w:shd w:val="clear" w:color="auto" w:fill="7030A0"/>
            <w:vAlign w:val="center"/>
          </w:tcPr>
          <w:p w:rsidR="007E7A9A" w:rsidRPr="004B44D5" w:rsidRDefault="007E7A9A" w:rsidP="007E7A9A">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Objeto de la denuncia</w:t>
            </w:r>
          </w:p>
        </w:tc>
        <w:tc>
          <w:tcPr>
            <w:tcW w:w="1559" w:type="dxa"/>
            <w:shd w:val="clear" w:color="auto" w:fill="7030A0"/>
            <w:vAlign w:val="center"/>
          </w:tcPr>
          <w:p w:rsidR="007E7A9A" w:rsidRPr="004B44D5" w:rsidRDefault="007E7A9A" w:rsidP="007E7A9A">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Sentido de la resolución emitida por el INAI</w:t>
            </w:r>
          </w:p>
        </w:tc>
        <w:tc>
          <w:tcPr>
            <w:tcW w:w="1276" w:type="dxa"/>
            <w:shd w:val="clear" w:color="auto" w:fill="7030A0"/>
            <w:vAlign w:val="center"/>
          </w:tcPr>
          <w:p w:rsidR="007E7A9A" w:rsidRPr="004B44D5" w:rsidRDefault="007E7A9A" w:rsidP="007E7A9A">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Fecha en que fue emitida la resolución del INAI</w:t>
            </w:r>
          </w:p>
        </w:tc>
        <w:tc>
          <w:tcPr>
            <w:tcW w:w="1687" w:type="dxa"/>
            <w:shd w:val="clear" w:color="auto" w:fill="7030A0"/>
            <w:vAlign w:val="center"/>
          </w:tcPr>
          <w:p w:rsidR="007E7A9A" w:rsidRPr="004B44D5" w:rsidRDefault="007E7A9A" w:rsidP="007E7A9A">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Documento de la denuncia</w:t>
            </w:r>
          </w:p>
        </w:tc>
        <w:tc>
          <w:tcPr>
            <w:tcW w:w="2875" w:type="dxa"/>
            <w:shd w:val="clear" w:color="auto" w:fill="7030A0"/>
            <w:vAlign w:val="center"/>
          </w:tcPr>
          <w:p w:rsidR="007E7A9A" w:rsidRPr="004B44D5" w:rsidRDefault="007E7A9A" w:rsidP="007E7A9A">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Nota</w:t>
            </w:r>
          </w:p>
        </w:tc>
      </w:tr>
      <w:tr w:rsidR="00CC6FF3" w:rsidTr="005B2B67">
        <w:trPr>
          <w:trHeight w:val="1127"/>
        </w:trPr>
        <w:tc>
          <w:tcPr>
            <w:tcW w:w="560" w:type="dxa"/>
            <w:vAlign w:val="center"/>
          </w:tcPr>
          <w:p w:rsidR="00CC6FF3" w:rsidRPr="00A32FF5" w:rsidRDefault="00CC6FF3" w:rsidP="00CC6FF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12</w:t>
            </w:r>
          </w:p>
        </w:tc>
        <w:tc>
          <w:tcPr>
            <w:tcW w:w="706" w:type="dxa"/>
            <w:vAlign w:val="center"/>
          </w:tcPr>
          <w:p w:rsidR="00CC6FF3" w:rsidRDefault="00CC6FF3" w:rsidP="00CC6FF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271" w:type="dxa"/>
            <w:vAlign w:val="center"/>
          </w:tcPr>
          <w:p w:rsidR="00CC6FF3" w:rsidRPr="0099307A" w:rsidRDefault="00CC6FF3" w:rsidP="00CC6FF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DIT 1036/2022</w:t>
            </w:r>
          </w:p>
        </w:tc>
        <w:tc>
          <w:tcPr>
            <w:tcW w:w="4404" w:type="dxa"/>
          </w:tcPr>
          <w:p w:rsidR="00CC6FF3" w:rsidRPr="0099307A" w:rsidRDefault="00CC6FF3" w:rsidP="00CC6FF3">
            <w:pPr>
              <w:tabs>
                <w:tab w:val="left" w:pos="6804"/>
                <w:tab w:val="left" w:pos="7230"/>
              </w:tabs>
              <w:ind w:left="34"/>
              <w:jc w:val="both"/>
              <w:rPr>
                <w:rFonts w:ascii="Montserrat Light" w:eastAsia="Times New Roman" w:hAnsi="Montserrat Light" w:cs="Times New Roman"/>
                <w:i/>
                <w:sz w:val="16"/>
                <w:szCs w:val="16"/>
                <w:lang w:val="es-ES" w:eastAsia="es-MX"/>
              </w:rPr>
            </w:pPr>
            <w:r w:rsidRPr="007D4BBA">
              <w:rPr>
                <w:rFonts w:ascii="Montserrat Light" w:eastAsia="Times New Roman" w:hAnsi="Montserrat Light" w:cs="Times New Roman"/>
                <w:i/>
                <w:sz w:val="16"/>
                <w:szCs w:val="16"/>
                <w:lang w:val="es-ES" w:eastAsia="es-MX"/>
              </w:rPr>
              <w:t xml:space="preserve">“De la revisión que se hizo al portal de cumplimiento de obligaciones de transparencia del Centro Nacional de Inteligencia, en el apartado programas y presupuestos, solamente se observa .que se hace referencia al Plan Nacional de Desarrollo y a la Estrategia Nacional de Seguridad Pública pero no se hace referencia ni al Programa para la Seguridad Nacional ni al Programa Sectorial de la Secretaría de Seguridad y Protección Ciudadana, no obstante que el Programa para la Seguridad Nacional su existencia está prevista en la Ley de Seguridad Nacional y que de este derivan una serie de líneas de acción que en el caso del CNI se tendrían que haber establecido en la elaboración del mismo, para que a su vez se pudieran señalar en el cuerpo del Programa Sectorial de la SSPC, a efecto de que se diera inicio el proceso de programación y presupuestación, pues es en los programas sectoriales en donde se presupuestan los recursos necesarios para llevar a cabo las acciones comprometidas tanto en el programa sectorial como en el Programa para la Seguridad Nacional por cuanto hace al CNI, ello en atención a lo dispuesto tanto en la Ley de Seguridad Nacional como en la Ley de Planeación y en la Ley Federal de Presupuesto y Responsabilidad Hacendaria, de tal suerte que al concluir el ejercicio fiscal, la cuenta pública que se presente sea susceptible de ser revisada mediante acciones de fiscalización por parte de la ASF en ejercicio de sus facultades constitucionales y legales, lo cual no ocurre en el caso concreto, por lo tanto, estamos en presencia de un incumplimiento a lo previsto tanto en la Ley General de Transparencia como en la Ley Federal de </w:t>
            </w:r>
            <w:r w:rsidRPr="007D4BBA">
              <w:rPr>
                <w:rFonts w:ascii="Montserrat Light" w:eastAsia="Times New Roman" w:hAnsi="Montserrat Light" w:cs="Times New Roman"/>
                <w:i/>
                <w:sz w:val="16"/>
                <w:szCs w:val="16"/>
                <w:lang w:val="es-ES" w:eastAsia="es-MX"/>
              </w:rPr>
              <w:lastRenderedPageBreak/>
              <w:t>Transparencia y Acceso a la Información Pública. En el apartado de normatividad no se encontraron todas las disposiciones que constituyen el marco jurídico de actuación del CNI, no obstante que se trata de un órgano administrativo desconcentrado el cual tiene conferidas atribuciones propias en términos de la Ley de Seguridad Nacional lo cual implica que deba de contar con una estructura organizacional básica, es decir los órganos superiores que integran a dicho desconcentrado en los cuales se distribuye la competencia del mismo para que puedan actuar dichas unidades administrativas de manera válida en sus relaciones hacia el exterior tanto con otros entes públicos, como con particulares, de donde derivarían otros instrumentos tales como el Manual de Organización General y los manuales de organización específicos de cada una de sus unidades administrativas, entre otras normas internas tanto de carácter sustantivo como administrativo mismas que no se observan en dicho apartado. Respecto al Programa para la Seguridad Nacional de esta Administración, es de señalarse que es obligación del Presidente de la República expedirlo en términos de la Ley de Seguridad Nacional y la Ley de Planeación, y que le corresponde a la SHCP establecer los lineamientos para su elaboración y expedición; por lo tanto, al no existir dicho programa se presupone un incumplimiento de obligaciones legales tanto por parte el Presidente de la República como de la SHCP, la SSPC y en específico del CNI toda vez que este último debe participar de manera activa en la elaboración de dicho instrumento programático pues tanto en éste como en el PND se deben establecer los temas de Seguridad Nacional de donde derivará la Agenda Nacional de Riesgos a la que se refiere la Ley de Seguridad Nacional y el Reglamento para la Coordinación de Acciones de Seguridad Nacional.” (sic)</w:t>
            </w:r>
          </w:p>
        </w:tc>
        <w:tc>
          <w:tcPr>
            <w:tcW w:w="1559" w:type="dxa"/>
            <w:vAlign w:val="center"/>
          </w:tcPr>
          <w:p w:rsidR="00CC6FF3" w:rsidRPr="0099307A" w:rsidRDefault="00CC6FF3" w:rsidP="00CC6FF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lastRenderedPageBreak/>
              <w:t>Fundada</w:t>
            </w:r>
          </w:p>
        </w:tc>
        <w:tc>
          <w:tcPr>
            <w:tcW w:w="1276" w:type="dxa"/>
            <w:vAlign w:val="center"/>
          </w:tcPr>
          <w:p w:rsidR="00CC6FF3" w:rsidRDefault="00152487" w:rsidP="00CC6FF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22</w:t>
            </w:r>
            <w:r w:rsidR="00CC6FF3">
              <w:rPr>
                <w:rFonts w:ascii="Montserrat Light" w:eastAsia="Times New Roman" w:hAnsi="Montserrat Light" w:cs="Times New Roman"/>
                <w:bCs/>
                <w:sz w:val="16"/>
                <w:szCs w:val="16"/>
                <w:lang w:eastAsia="es-MX"/>
              </w:rPr>
              <w:t>/12/2022</w:t>
            </w:r>
          </w:p>
        </w:tc>
        <w:tc>
          <w:tcPr>
            <w:tcW w:w="1687" w:type="dxa"/>
          </w:tcPr>
          <w:p w:rsidR="00CC6FF3" w:rsidRPr="00287A0F" w:rsidRDefault="00CC6FF3" w:rsidP="00CC6FF3">
            <w:pPr>
              <w:pStyle w:val="wordsection1"/>
              <w:rPr>
                <w:rFonts w:ascii="Montserrat" w:hAnsi="Montserrat"/>
                <w:color w:val="1F497D"/>
                <w:sz w:val="18"/>
                <w:szCs w:val="18"/>
                <w:lang w:val="en-US" w:eastAsia="en-US"/>
              </w:rPr>
            </w:pPr>
            <w:hyperlink r:id="rId7" w:history="1">
              <w:r w:rsidRPr="00287A0F">
                <w:rPr>
                  <w:rStyle w:val="Hipervnculo"/>
                  <w:rFonts w:ascii="Montserrat" w:hAnsi="Montserrat"/>
                  <w:sz w:val="18"/>
                  <w:szCs w:val="18"/>
                  <w:lang w:val="en-US"/>
                </w:rPr>
                <w:t>http://www.cni.gob.mx/actas/RES-DIT10362022-CNIFUND.pdf</w:t>
              </w:r>
            </w:hyperlink>
          </w:p>
          <w:p w:rsidR="00CC6FF3" w:rsidRPr="00CC6FF3" w:rsidRDefault="00CC6FF3" w:rsidP="00CC6FF3">
            <w:pPr>
              <w:rPr>
                <w:sz w:val="20"/>
                <w:szCs w:val="20"/>
              </w:rPr>
            </w:pPr>
          </w:p>
        </w:tc>
        <w:tc>
          <w:tcPr>
            <w:tcW w:w="2875" w:type="dxa"/>
          </w:tcPr>
          <w:p w:rsidR="00287A0F" w:rsidRDefault="00287A0F" w:rsidP="00287A0F">
            <w:pPr>
              <w:spacing w:before="100" w:beforeAutospacing="1" w:after="100" w:afterAutospacing="1"/>
              <w:jc w:val="both"/>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Dictamen de cumplimiento</w:t>
            </w:r>
          </w:p>
          <w:p w:rsidR="00287A0F" w:rsidRPr="00287A0F" w:rsidRDefault="00287A0F" w:rsidP="00287A0F">
            <w:pPr>
              <w:spacing w:before="100" w:beforeAutospacing="1" w:after="100" w:afterAutospacing="1"/>
              <w:jc w:val="both"/>
              <w:outlineLvl w:val="2"/>
              <w:rPr>
                <w:rFonts w:ascii="Montserrat" w:hAnsi="Montserrat"/>
                <w:color w:val="1F497D"/>
                <w:sz w:val="18"/>
                <w:szCs w:val="18"/>
                <w:lang w:val="es-ES"/>
              </w:rPr>
            </w:pPr>
            <w:hyperlink r:id="rId8" w:history="1">
              <w:r w:rsidRPr="00287A0F">
                <w:rPr>
                  <w:rStyle w:val="Hipervnculo"/>
                  <w:rFonts w:ascii="Montserrat" w:hAnsi="Montserrat"/>
                  <w:sz w:val="18"/>
                  <w:szCs w:val="18"/>
                  <w:lang w:val="es-ES"/>
                </w:rPr>
                <w:t>http://www.cni.gob.mx/actas/DIC-CUM-DIT10362022.pdf</w:t>
              </w:r>
            </w:hyperlink>
          </w:p>
          <w:p w:rsidR="00287A0F" w:rsidRPr="00A32FF5" w:rsidRDefault="00287A0F" w:rsidP="00CC6FF3">
            <w:pPr>
              <w:spacing w:before="100" w:beforeAutospacing="1" w:after="100" w:afterAutospacing="1"/>
              <w:jc w:val="both"/>
              <w:outlineLvl w:val="2"/>
              <w:rPr>
                <w:rFonts w:ascii="Montserrat Light" w:eastAsia="Times New Roman" w:hAnsi="Montserrat Light" w:cs="Times New Roman"/>
                <w:bCs/>
                <w:sz w:val="16"/>
                <w:szCs w:val="16"/>
                <w:lang w:eastAsia="es-MX"/>
              </w:rPr>
            </w:pPr>
          </w:p>
        </w:tc>
      </w:tr>
      <w:tr w:rsidR="005B2B67" w:rsidRPr="004B44D5" w:rsidTr="004612B1">
        <w:trPr>
          <w:trHeight w:val="912"/>
        </w:trPr>
        <w:tc>
          <w:tcPr>
            <w:tcW w:w="560" w:type="dxa"/>
            <w:shd w:val="clear" w:color="auto" w:fill="7030A0"/>
            <w:vAlign w:val="center"/>
          </w:tcPr>
          <w:p w:rsidR="005B2B67" w:rsidRPr="004B44D5" w:rsidRDefault="005B2B67" w:rsidP="005B2B67">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lastRenderedPageBreak/>
              <w:t>No.</w:t>
            </w:r>
          </w:p>
        </w:tc>
        <w:tc>
          <w:tcPr>
            <w:tcW w:w="706" w:type="dxa"/>
            <w:shd w:val="clear" w:color="auto" w:fill="7030A0"/>
            <w:vAlign w:val="center"/>
          </w:tcPr>
          <w:p w:rsidR="005B2B67" w:rsidRPr="004B44D5" w:rsidRDefault="005B2B67" w:rsidP="005B2B67">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Año</w:t>
            </w:r>
          </w:p>
        </w:tc>
        <w:tc>
          <w:tcPr>
            <w:tcW w:w="1271" w:type="dxa"/>
            <w:shd w:val="clear" w:color="auto" w:fill="7030A0"/>
            <w:vAlign w:val="center"/>
          </w:tcPr>
          <w:p w:rsidR="005B2B67" w:rsidRPr="004B44D5" w:rsidRDefault="005B2B67" w:rsidP="005B2B67">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Número de identificación de la denuncia</w:t>
            </w:r>
          </w:p>
        </w:tc>
        <w:tc>
          <w:tcPr>
            <w:tcW w:w="4404" w:type="dxa"/>
            <w:shd w:val="clear" w:color="auto" w:fill="7030A0"/>
            <w:vAlign w:val="center"/>
          </w:tcPr>
          <w:p w:rsidR="005B2B67" w:rsidRPr="004B44D5" w:rsidRDefault="005B2B67" w:rsidP="005B2B67">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Objeto de la denuncia</w:t>
            </w:r>
          </w:p>
        </w:tc>
        <w:tc>
          <w:tcPr>
            <w:tcW w:w="1559" w:type="dxa"/>
            <w:shd w:val="clear" w:color="auto" w:fill="7030A0"/>
            <w:vAlign w:val="center"/>
          </w:tcPr>
          <w:p w:rsidR="005B2B67" w:rsidRPr="004B44D5" w:rsidRDefault="005B2B67" w:rsidP="005B2B67">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Sentido de la resolución emitida por el INAI</w:t>
            </w:r>
          </w:p>
        </w:tc>
        <w:tc>
          <w:tcPr>
            <w:tcW w:w="1276" w:type="dxa"/>
            <w:shd w:val="clear" w:color="auto" w:fill="7030A0"/>
            <w:vAlign w:val="center"/>
          </w:tcPr>
          <w:p w:rsidR="005B2B67" w:rsidRPr="004B44D5" w:rsidRDefault="005B2B67" w:rsidP="005B2B67">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Fecha en que fue emitida la resolución del INAI</w:t>
            </w:r>
          </w:p>
        </w:tc>
        <w:tc>
          <w:tcPr>
            <w:tcW w:w="1687" w:type="dxa"/>
            <w:shd w:val="clear" w:color="auto" w:fill="7030A0"/>
            <w:vAlign w:val="center"/>
          </w:tcPr>
          <w:p w:rsidR="005B2B67" w:rsidRPr="004B44D5" w:rsidRDefault="005B2B67" w:rsidP="005B2B67">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Documento de la denuncia</w:t>
            </w:r>
          </w:p>
        </w:tc>
        <w:tc>
          <w:tcPr>
            <w:tcW w:w="2875" w:type="dxa"/>
            <w:shd w:val="clear" w:color="auto" w:fill="7030A0"/>
            <w:vAlign w:val="center"/>
          </w:tcPr>
          <w:p w:rsidR="005B2B67" w:rsidRPr="004B44D5" w:rsidRDefault="005B2B67" w:rsidP="005B2B67">
            <w:pPr>
              <w:spacing w:before="100" w:beforeAutospacing="1" w:after="100" w:afterAutospacing="1" w:line="240" w:lineRule="atLeast"/>
              <w:jc w:val="center"/>
              <w:outlineLvl w:val="2"/>
              <w:rPr>
                <w:rFonts w:ascii="Monserrat light" w:eastAsia="Times New Roman" w:hAnsi="Monserrat light" w:cs="Times New Roman"/>
                <w:b/>
                <w:bCs/>
                <w:color w:val="FFFFFF" w:themeColor="background1"/>
                <w:sz w:val="18"/>
                <w:szCs w:val="18"/>
                <w:lang w:eastAsia="es-MX"/>
              </w:rPr>
            </w:pPr>
            <w:r w:rsidRPr="004B44D5">
              <w:rPr>
                <w:rFonts w:ascii="Monserrat light" w:eastAsia="Times New Roman" w:hAnsi="Monserrat light" w:cs="Times New Roman"/>
                <w:b/>
                <w:bCs/>
                <w:color w:val="FFFFFF" w:themeColor="background1"/>
                <w:sz w:val="18"/>
                <w:szCs w:val="18"/>
                <w:lang w:eastAsia="es-MX"/>
              </w:rPr>
              <w:t>Nota</w:t>
            </w:r>
          </w:p>
        </w:tc>
      </w:tr>
      <w:tr w:rsidR="00287A0F" w:rsidTr="005B2B67">
        <w:trPr>
          <w:trHeight w:val="1127"/>
        </w:trPr>
        <w:tc>
          <w:tcPr>
            <w:tcW w:w="560" w:type="dxa"/>
            <w:vAlign w:val="center"/>
          </w:tcPr>
          <w:p w:rsidR="00287A0F" w:rsidRDefault="00287A0F" w:rsidP="00CC6FF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706" w:type="dxa"/>
            <w:vAlign w:val="center"/>
          </w:tcPr>
          <w:p w:rsidR="00287A0F" w:rsidRDefault="00287A0F" w:rsidP="00CC6FF3">
            <w:pPr>
              <w:spacing w:before="100" w:beforeAutospacing="1" w:after="100" w:afterAutospacing="1"/>
              <w:jc w:val="center"/>
              <w:outlineLvl w:val="2"/>
              <w:rPr>
                <w:rFonts w:ascii="Montserrat Light" w:eastAsia="Times New Roman" w:hAnsi="Montserrat Light" w:cs="Times New Roman"/>
                <w:bCs/>
                <w:sz w:val="16"/>
                <w:szCs w:val="16"/>
                <w:lang w:eastAsia="es-MX"/>
              </w:rPr>
            </w:pPr>
          </w:p>
        </w:tc>
        <w:tc>
          <w:tcPr>
            <w:tcW w:w="1271" w:type="dxa"/>
            <w:vAlign w:val="center"/>
          </w:tcPr>
          <w:p w:rsidR="00287A0F" w:rsidRDefault="00152487" w:rsidP="00CC6FF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DIT 10</w:t>
            </w:r>
            <w:r>
              <w:rPr>
                <w:rFonts w:ascii="Montserrat Light" w:eastAsia="Times New Roman" w:hAnsi="Montserrat Light" w:cs="Times New Roman"/>
                <w:bCs/>
                <w:sz w:val="16"/>
                <w:szCs w:val="16"/>
                <w:lang w:eastAsia="es-MX"/>
              </w:rPr>
              <w:t>42</w:t>
            </w:r>
            <w:r>
              <w:rPr>
                <w:rFonts w:ascii="Montserrat Light" w:eastAsia="Times New Roman" w:hAnsi="Montserrat Light" w:cs="Times New Roman"/>
                <w:bCs/>
                <w:sz w:val="16"/>
                <w:szCs w:val="16"/>
                <w:lang w:eastAsia="es-MX"/>
              </w:rPr>
              <w:t>/2022</w:t>
            </w:r>
            <w:r>
              <w:rPr>
                <w:rFonts w:ascii="Montserrat Light" w:eastAsia="Times New Roman" w:hAnsi="Montserrat Light" w:cs="Times New Roman"/>
                <w:bCs/>
                <w:sz w:val="16"/>
                <w:szCs w:val="16"/>
                <w:lang w:eastAsia="es-MX"/>
              </w:rPr>
              <w:t xml:space="preserve"> y su acumulado DIT 1043/2022</w:t>
            </w:r>
          </w:p>
        </w:tc>
        <w:tc>
          <w:tcPr>
            <w:tcW w:w="4404" w:type="dxa"/>
          </w:tcPr>
          <w:p w:rsidR="00152487" w:rsidRPr="00152487" w:rsidRDefault="00152487" w:rsidP="00152487">
            <w:pPr>
              <w:tabs>
                <w:tab w:val="left" w:pos="6804"/>
                <w:tab w:val="left" w:pos="7230"/>
              </w:tabs>
              <w:ind w:left="34"/>
              <w:jc w:val="both"/>
              <w:rPr>
                <w:rFonts w:ascii="Montserrat Light" w:eastAsia="Times New Roman" w:hAnsi="Montserrat Light" w:cs="Times New Roman"/>
                <w:i/>
                <w:sz w:val="16"/>
                <w:szCs w:val="16"/>
                <w:lang w:val="es-ES" w:eastAsia="es-MX"/>
              </w:rPr>
            </w:pPr>
            <w:r w:rsidRPr="00152487">
              <w:rPr>
                <w:rFonts w:ascii="Montserrat Light" w:eastAsia="Times New Roman" w:hAnsi="Montserrat Light" w:cs="Times New Roman"/>
                <w:i/>
                <w:sz w:val="16"/>
                <w:szCs w:val="16"/>
                <w:lang w:val="es-ES" w:eastAsia="es-MX"/>
              </w:rPr>
              <w:t>DIT 1042/2022</w:t>
            </w:r>
          </w:p>
          <w:p w:rsidR="00152487" w:rsidRPr="00152487" w:rsidRDefault="00152487" w:rsidP="00152487">
            <w:pPr>
              <w:tabs>
                <w:tab w:val="left" w:pos="6804"/>
                <w:tab w:val="left" w:pos="7230"/>
              </w:tabs>
              <w:ind w:left="34"/>
              <w:jc w:val="both"/>
              <w:rPr>
                <w:rFonts w:ascii="Montserrat Light" w:eastAsia="Times New Roman" w:hAnsi="Montserrat Light" w:cs="Times New Roman"/>
                <w:i/>
                <w:sz w:val="16"/>
                <w:szCs w:val="16"/>
                <w:lang w:val="es-ES" w:eastAsia="es-MX"/>
              </w:rPr>
            </w:pPr>
            <w:r w:rsidRPr="00152487">
              <w:rPr>
                <w:rFonts w:ascii="Montserrat Light" w:eastAsia="Times New Roman" w:hAnsi="Montserrat Light" w:cs="Times New Roman"/>
                <w:i/>
                <w:sz w:val="16"/>
                <w:szCs w:val="16"/>
                <w:lang w:val="es-ES" w:eastAsia="es-MX"/>
              </w:rPr>
              <w:t xml:space="preserve">"EI Centro Nacional de </w:t>
            </w:r>
            <w:r w:rsidRPr="00152487">
              <w:rPr>
                <w:rFonts w:ascii="Montserrat Light" w:eastAsia="Times New Roman" w:hAnsi="Montserrat Light" w:cs="Times New Roman"/>
                <w:i/>
                <w:sz w:val="16"/>
                <w:szCs w:val="16"/>
                <w:lang w:val="es-ES" w:eastAsia="es-MX"/>
              </w:rPr>
              <w:t>Inteligencia incumple con</w:t>
            </w:r>
            <w:r w:rsidRPr="00152487">
              <w:rPr>
                <w:rFonts w:ascii="Montserrat Light" w:eastAsia="Times New Roman" w:hAnsi="Montserrat Light" w:cs="Times New Roman"/>
                <w:i/>
                <w:sz w:val="16"/>
                <w:szCs w:val="16"/>
                <w:lang w:val="es-ES" w:eastAsia="es-MX"/>
              </w:rPr>
              <w:t xml:space="preserve"> </w:t>
            </w:r>
            <w:r w:rsidRPr="00152487">
              <w:rPr>
                <w:rFonts w:ascii="Montserrat Light" w:eastAsia="Times New Roman" w:hAnsi="Montserrat Light" w:cs="Times New Roman"/>
                <w:i/>
                <w:sz w:val="16"/>
                <w:szCs w:val="16"/>
                <w:lang w:val="es-ES" w:eastAsia="es-MX"/>
              </w:rPr>
              <w:t>la obligación de transparencia</w:t>
            </w:r>
            <w:r w:rsidRPr="00152487">
              <w:rPr>
                <w:rFonts w:ascii="Montserrat Light" w:eastAsia="Times New Roman" w:hAnsi="Montserrat Light" w:cs="Times New Roman"/>
                <w:i/>
                <w:sz w:val="16"/>
                <w:szCs w:val="16"/>
                <w:lang w:val="es-ES" w:eastAsia="es-MX"/>
              </w:rPr>
              <w:t xml:space="preserve"> prevista en el artículo 70, fracción 1 de la Ley General de Transparencia y Acceso a </w:t>
            </w:r>
            <w:r w:rsidRPr="00152487">
              <w:rPr>
                <w:rFonts w:ascii="Montserrat Light" w:eastAsia="Times New Roman" w:hAnsi="Montserrat Light" w:cs="Times New Roman"/>
                <w:i/>
                <w:sz w:val="16"/>
                <w:szCs w:val="16"/>
                <w:lang w:val="es-ES" w:eastAsia="es-MX"/>
              </w:rPr>
              <w:t>la</w:t>
            </w:r>
            <w:r w:rsidRPr="00152487">
              <w:rPr>
                <w:rFonts w:ascii="Montserrat Light" w:eastAsia="Times New Roman" w:hAnsi="Montserrat Light" w:cs="Times New Roman"/>
                <w:i/>
                <w:sz w:val="16"/>
                <w:szCs w:val="16"/>
                <w:lang w:val="es-ES" w:eastAsia="es-MX"/>
              </w:rPr>
              <w:t xml:space="preserve"> Información Pública, toda vez que no ha subido a la plataforma de obligaciones de transparencia el manual de organización específico a que hace referencia fa Auditoría de Cumplimiento 2018-5-04100- 190019-2019, consultable en la dirección electrónica: </w:t>
            </w:r>
            <w:proofErr w:type="gramStart"/>
            <w:r w:rsidRPr="00152487">
              <w:rPr>
                <w:rFonts w:ascii="Montserrat Light" w:eastAsia="Times New Roman" w:hAnsi="Montserrat Light" w:cs="Times New Roman"/>
                <w:i/>
                <w:sz w:val="16"/>
                <w:szCs w:val="16"/>
                <w:lang w:val="es-ES" w:eastAsia="es-MX"/>
              </w:rPr>
              <w:t>https:llwww</w:t>
            </w:r>
            <w:proofErr w:type="gramEnd"/>
            <w:r w:rsidRPr="00152487">
              <w:rPr>
                <w:rFonts w:ascii="Montserrat Light" w:eastAsia="Times New Roman" w:hAnsi="Montserrat Light" w:cs="Times New Roman"/>
                <w:i/>
                <w:sz w:val="16"/>
                <w:szCs w:val="16"/>
                <w:lang w:val="es-ES" w:eastAsia="es-MX"/>
              </w:rPr>
              <w:t xml:space="preserve">.  </w:t>
            </w:r>
            <w:proofErr w:type="gramStart"/>
            <w:r w:rsidRPr="00152487">
              <w:rPr>
                <w:rFonts w:ascii="Montserrat Light" w:eastAsia="Times New Roman" w:hAnsi="Montserrat Light" w:cs="Times New Roman"/>
                <w:i/>
                <w:sz w:val="16"/>
                <w:szCs w:val="16"/>
                <w:lang w:val="es-ES" w:eastAsia="es-MX"/>
              </w:rPr>
              <w:t>asf.gob.mx!Transllnformes</w:t>
            </w:r>
            <w:proofErr w:type="gramEnd"/>
            <w:r w:rsidRPr="00152487">
              <w:rPr>
                <w:rFonts w:ascii="Montserrat Light" w:eastAsia="Times New Roman" w:hAnsi="Montserrat Light" w:cs="Times New Roman"/>
                <w:i/>
                <w:sz w:val="16"/>
                <w:szCs w:val="16"/>
                <w:lang w:val="es-ES" w:eastAsia="es-MX"/>
              </w:rPr>
              <w:t>!IR2018c!Documentos/    Auditorías 12018_0019_a.pdf,  así  como  los  correspondientes  al  manual  de  organización específico del Centro Nacional de Inteligencia vigente. Así como los lineamientos para regular el uso de aparatos útiles en la intervención de comunicaciones  privadas Artículo 13, fracción VI/ de la Ley de Seguridad Nacional; los lineamientos a que alude el artículo 29 del Reglamento para la Coordinación de Acciones Ejecutivas en Materia de Seguridad Nacional; los lineamientos que menciona el artículo 90, del Estatuto Laboral del Centro de Investigación y Seguridad Nacional, y demás lineamientos expedidos por el Comité de Personal señalados en dicho Estatuto, y las bases de colaboración y los convenios de coordinación celebrados por el Secretario Ejecutivo del Consejo de Seguridad Nacional derivados de los artículos 14 y  27 de la Ley de Seguridad Nacional/. " (sic)</w:t>
            </w:r>
          </w:p>
          <w:p w:rsidR="00152487" w:rsidRPr="00152487" w:rsidRDefault="00152487" w:rsidP="00152487">
            <w:pPr>
              <w:tabs>
                <w:tab w:val="left" w:pos="6804"/>
                <w:tab w:val="left" w:pos="7230"/>
              </w:tabs>
              <w:ind w:left="34"/>
              <w:jc w:val="both"/>
              <w:rPr>
                <w:rFonts w:ascii="Montserrat Light" w:eastAsia="Times New Roman" w:hAnsi="Montserrat Light" w:cs="Times New Roman"/>
                <w:i/>
                <w:sz w:val="16"/>
                <w:szCs w:val="16"/>
                <w:lang w:val="es-ES" w:eastAsia="es-MX"/>
              </w:rPr>
            </w:pPr>
          </w:p>
          <w:p w:rsidR="00152487" w:rsidRPr="00152487" w:rsidRDefault="00152487" w:rsidP="00152487">
            <w:pPr>
              <w:tabs>
                <w:tab w:val="left" w:pos="6804"/>
                <w:tab w:val="left" w:pos="7230"/>
              </w:tabs>
              <w:ind w:left="34"/>
              <w:jc w:val="both"/>
              <w:rPr>
                <w:rFonts w:ascii="Montserrat Light" w:eastAsia="Times New Roman" w:hAnsi="Montserrat Light" w:cs="Times New Roman"/>
                <w:i/>
                <w:sz w:val="16"/>
                <w:szCs w:val="16"/>
                <w:lang w:val="es-ES" w:eastAsia="es-MX"/>
              </w:rPr>
            </w:pPr>
            <w:r w:rsidRPr="00152487">
              <w:rPr>
                <w:rFonts w:ascii="Montserrat Light" w:eastAsia="Times New Roman" w:hAnsi="Montserrat Light" w:cs="Times New Roman"/>
                <w:i/>
                <w:sz w:val="16"/>
                <w:szCs w:val="16"/>
                <w:lang w:val="es-ES" w:eastAsia="es-MX"/>
              </w:rPr>
              <w:t>DJT      1043/2022</w:t>
            </w:r>
          </w:p>
          <w:p w:rsidR="00287A0F" w:rsidRPr="007D4BBA" w:rsidRDefault="00152487" w:rsidP="00152487">
            <w:pPr>
              <w:tabs>
                <w:tab w:val="left" w:pos="6804"/>
                <w:tab w:val="left" w:pos="7230"/>
              </w:tabs>
              <w:ind w:left="34"/>
              <w:jc w:val="both"/>
              <w:rPr>
                <w:rFonts w:ascii="Montserrat Light" w:eastAsia="Times New Roman" w:hAnsi="Montserrat Light" w:cs="Times New Roman"/>
                <w:i/>
                <w:sz w:val="16"/>
                <w:szCs w:val="16"/>
                <w:lang w:val="es-ES" w:eastAsia="es-MX"/>
              </w:rPr>
            </w:pPr>
            <w:r w:rsidRPr="00152487">
              <w:rPr>
                <w:rFonts w:ascii="Montserrat Light" w:eastAsia="Times New Roman" w:hAnsi="Montserrat Light" w:cs="Times New Roman"/>
                <w:i/>
                <w:sz w:val="16"/>
                <w:szCs w:val="16"/>
                <w:lang w:val="es-ES" w:eastAsia="es-MX"/>
              </w:rPr>
              <w:t xml:space="preserve">"Denuncia por el incumplimiento de la obligación contenida en el artículo 70 ya que no se observa que hayan subido el programa para la Seguridad Nacional de este sexenio o sea  el  que  deriva  del  </w:t>
            </w:r>
            <w:r w:rsidRPr="00152487">
              <w:rPr>
                <w:rFonts w:ascii="Montserrat Light" w:eastAsia="Times New Roman" w:hAnsi="Montserrat Light" w:cs="Times New Roman"/>
                <w:i/>
                <w:sz w:val="16"/>
                <w:szCs w:val="16"/>
                <w:lang w:val="es-ES" w:eastAsia="es-MX"/>
              </w:rPr>
              <w:lastRenderedPageBreak/>
              <w:t>Plan  Nacional  de  Desarrollo  2019-2024,  las  Agendas Nacionales de Riesgo correspondientes a los años 2019, 2020, 2021 y 2022, así como los Planes Estratégicos de Acción correspondientes a los mismos años 2019, 2020, 2021 y 2022 a que hace referencia la Ley de Seguridad Nacional y el Reglamento para la Coordinación de Acciones Ejecutivas en Materia de Seguridad Nacional, toda vez que son los instrumentos junto  con el Plan Nacional de Desarrollo, el Programa para la Seguridad Nacional, el Programa Sectorial de la Secretaría de Seguridad Protección Ciudadana, los instrumentos programáticos  o de política  pública  que direccionan  la actuación del Centro Nacional de Inteligencia y esto va de la mano con lo que le va a permitir  presupuestar   anualmente  los  recursos  financieros  necesarios  para  poder cumplir con las atribuciones que le confieren las leyes y reglamentos .." (sic)</w:t>
            </w:r>
          </w:p>
        </w:tc>
        <w:tc>
          <w:tcPr>
            <w:tcW w:w="1559" w:type="dxa"/>
            <w:vAlign w:val="center"/>
          </w:tcPr>
          <w:p w:rsidR="00287A0F" w:rsidRDefault="00152487" w:rsidP="00CC6FF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lastRenderedPageBreak/>
              <w:t>Parcialmente Fundada</w:t>
            </w:r>
          </w:p>
        </w:tc>
        <w:tc>
          <w:tcPr>
            <w:tcW w:w="1276" w:type="dxa"/>
            <w:vAlign w:val="center"/>
          </w:tcPr>
          <w:p w:rsidR="00287A0F" w:rsidRDefault="00152487" w:rsidP="00CC6FF3">
            <w:pPr>
              <w:spacing w:before="100" w:beforeAutospacing="1" w:after="100" w:afterAutospacing="1"/>
              <w:jc w:val="center"/>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22/12/2022</w:t>
            </w:r>
          </w:p>
        </w:tc>
        <w:tc>
          <w:tcPr>
            <w:tcW w:w="1687" w:type="dxa"/>
          </w:tcPr>
          <w:p w:rsidR="00152487" w:rsidRPr="00152487" w:rsidRDefault="00152487" w:rsidP="00152487">
            <w:pPr>
              <w:pStyle w:val="wordsection1"/>
              <w:rPr>
                <w:rFonts w:ascii="Montserrat" w:hAnsi="Montserrat"/>
                <w:sz w:val="18"/>
                <w:szCs w:val="18"/>
                <w:lang w:val="en-US" w:eastAsia="en-US"/>
              </w:rPr>
            </w:pPr>
            <w:hyperlink r:id="rId9" w:history="1">
              <w:r w:rsidRPr="00152487">
                <w:rPr>
                  <w:rStyle w:val="Hipervnculo"/>
                  <w:rFonts w:ascii="Montserrat" w:hAnsi="Montserrat"/>
                  <w:sz w:val="18"/>
                  <w:szCs w:val="18"/>
                  <w:lang w:val="en-US"/>
                </w:rPr>
                <w:t>http://www.cni.gob.mx/actas/RES-DIT10422022-ACUM-DIT10432022-CNI-parc-fund.pdf</w:t>
              </w:r>
            </w:hyperlink>
          </w:p>
          <w:p w:rsidR="00287A0F" w:rsidRPr="00152487" w:rsidRDefault="00287A0F" w:rsidP="00CC6FF3">
            <w:pPr>
              <w:pStyle w:val="wordsection1"/>
              <w:rPr>
                <w:rFonts w:ascii="Montserrat" w:hAnsi="Montserrat"/>
                <w:color w:val="1F497D"/>
                <w:sz w:val="18"/>
                <w:szCs w:val="18"/>
                <w:lang w:val="es-ES"/>
              </w:rPr>
            </w:pPr>
            <w:bookmarkStart w:id="1" w:name="_GoBack"/>
            <w:bookmarkEnd w:id="1"/>
          </w:p>
        </w:tc>
        <w:tc>
          <w:tcPr>
            <w:tcW w:w="2875" w:type="dxa"/>
          </w:tcPr>
          <w:p w:rsidR="00287A0F" w:rsidRDefault="00152487" w:rsidP="00287A0F">
            <w:pPr>
              <w:spacing w:before="100" w:beforeAutospacing="1" w:after="100" w:afterAutospacing="1"/>
              <w:jc w:val="both"/>
              <w:outlineLvl w:val="2"/>
              <w:rPr>
                <w:rFonts w:ascii="Montserrat Light" w:eastAsia="Times New Roman" w:hAnsi="Montserrat Light" w:cs="Times New Roman"/>
                <w:bCs/>
                <w:sz w:val="16"/>
                <w:szCs w:val="16"/>
                <w:lang w:eastAsia="es-MX"/>
              </w:rPr>
            </w:pPr>
            <w:r>
              <w:rPr>
                <w:rFonts w:ascii="Montserrat Light" w:eastAsia="Times New Roman" w:hAnsi="Montserrat Light" w:cs="Times New Roman"/>
                <w:bCs/>
                <w:sz w:val="16"/>
                <w:szCs w:val="16"/>
                <w:lang w:eastAsia="es-MX"/>
              </w:rPr>
              <w:t>Dictamen de cumplimiento</w:t>
            </w:r>
          </w:p>
          <w:p w:rsidR="00152487" w:rsidRPr="00152487" w:rsidRDefault="00152487" w:rsidP="00152487">
            <w:pPr>
              <w:pStyle w:val="wordsection1"/>
              <w:rPr>
                <w:rFonts w:ascii="Montserrat" w:hAnsi="Montserrat"/>
                <w:color w:val="1F497D"/>
                <w:sz w:val="18"/>
                <w:szCs w:val="18"/>
                <w:lang w:val="es-ES" w:eastAsia="en-US"/>
              </w:rPr>
            </w:pPr>
            <w:hyperlink r:id="rId10" w:history="1">
              <w:r w:rsidRPr="00152487">
                <w:rPr>
                  <w:rStyle w:val="Hipervnculo"/>
                  <w:rFonts w:ascii="Montserrat" w:hAnsi="Montserrat"/>
                  <w:sz w:val="18"/>
                  <w:szCs w:val="18"/>
                  <w:lang w:val="es-ES"/>
                </w:rPr>
                <w:t>http://www.cni.gob.mx/actas/DIC-CUM-DIT10422022-ACUM-DIT10432022.pdf</w:t>
              </w:r>
            </w:hyperlink>
          </w:p>
          <w:p w:rsidR="00152487" w:rsidRDefault="00152487" w:rsidP="00287A0F">
            <w:pPr>
              <w:spacing w:before="100" w:beforeAutospacing="1" w:after="100" w:afterAutospacing="1"/>
              <w:jc w:val="both"/>
              <w:outlineLvl w:val="2"/>
              <w:rPr>
                <w:rFonts w:ascii="Montserrat Light" w:eastAsia="Times New Roman" w:hAnsi="Montserrat Light" w:cs="Times New Roman"/>
                <w:bCs/>
                <w:sz w:val="16"/>
                <w:szCs w:val="16"/>
                <w:lang w:eastAsia="es-MX"/>
              </w:rPr>
            </w:pPr>
          </w:p>
        </w:tc>
      </w:tr>
    </w:tbl>
    <w:p w:rsidR="005945E1" w:rsidRDefault="005945E1" w:rsidP="00BA03B8">
      <w:pPr>
        <w:spacing w:after="0" w:line="240" w:lineRule="atLeast"/>
        <w:jc w:val="right"/>
      </w:pPr>
    </w:p>
    <w:sectPr w:rsidR="005945E1" w:rsidSect="000A117E">
      <w:headerReference w:type="default" r:id="rId11"/>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75D" w:rsidRDefault="00CB075D" w:rsidP="00973ED8">
      <w:pPr>
        <w:spacing w:after="0" w:line="240" w:lineRule="auto"/>
      </w:pPr>
      <w:r>
        <w:separator/>
      </w:r>
    </w:p>
  </w:endnote>
  <w:endnote w:type="continuationSeparator" w:id="0">
    <w:p w:rsidR="00CB075D" w:rsidRDefault="00CB075D" w:rsidP="00973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tserrat Light">
    <w:altName w:val="Times New Roman"/>
    <w:panose1 w:val="00000400000000000000"/>
    <w:charset w:val="00"/>
    <w:family w:val="auto"/>
    <w:pitch w:val="variable"/>
    <w:sig w:usb0="2000020F" w:usb1="00000003" w:usb2="00000000" w:usb3="00000000" w:csb0="00000197" w:csb1="00000000"/>
  </w:font>
  <w:font w:name="Monserrat light">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75D" w:rsidRDefault="00CB075D" w:rsidP="00973ED8">
      <w:pPr>
        <w:spacing w:after="0" w:line="240" w:lineRule="auto"/>
      </w:pPr>
      <w:r>
        <w:separator/>
      </w:r>
    </w:p>
  </w:footnote>
  <w:footnote w:type="continuationSeparator" w:id="0">
    <w:p w:rsidR="00CB075D" w:rsidRDefault="00CB075D" w:rsidP="00973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ED8" w:rsidRPr="00A832D4" w:rsidRDefault="00973ED8" w:rsidP="00973ED8">
    <w:pPr>
      <w:spacing w:after="0" w:line="240" w:lineRule="auto"/>
      <w:jc w:val="center"/>
      <w:outlineLvl w:val="2"/>
      <w:rPr>
        <w:rFonts w:ascii="Monserrat light" w:eastAsia="Times New Roman" w:hAnsi="Monserrat light" w:cs="Times New Roman"/>
        <w:b/>
        <w:bCs/>
        <w:lang w:eastAsia="es-MX"/>
      </w:rPr>
    </w:pPr>
    <w:r w:rsidRPr="00A832D4">
      <w:rPr>
        <w:rFonts w:ascii="Monserrat light" w:eastAsia="Times New Roman" w:hAnsi="Monserrat light" w:cs="Times New Roman"/>
        <w:b/>
        <w:bCs/>
        <w:lang w:eastAsia="es-MX"/>
      </w:rPr>
      <w:t>“</w:t>
    </w:r>
    <w:r w:rsidRPr="00ED05E2">
      <w:rPr>
        <w:rFonts w:ascii="Monserrat light" w:eastAsia="Times New Roman" w:hAnsi="Monserrat light" w:cs="Times New Roman"/>
        <w:b/>
        <w:bCs/>
        <w:lang w:eastAsia="es-MX"/>
      </w:rPr>
      <w:t>Denuncia</w:t>
    </w:r>
    <w:r w:rsidRPr="00A832D4">
      <w:rPr>
        <w:rFonts w:ascii="Monserrat light" w:eastAsia="Times New Roman" w:hAnsi="Monserrat light" w:cs="Times New Roman"/>
        <w:b/>
        <w:bCs/>
        <w:lang w:eastAsia="es-MX"/>
      </w:rPr>
      <w:t>s</w:t>
    </w:r>
    <w:r w:rsidRPr="00ED05E2">
      <w:rPr>
        <w:rFonts w:ascii="Monserrat light" w:eastAsia="Times New Roman" w:hAnsi="Monserrat light" w:cs="Times New Roman"/>
        <w:b/>
        <w:bCs/>
        <w:lang w:eastAsia="es-MX"/>
      </w:rPr>
      <w:t xml:space="preserve"> por</w:t>
    </w:r>
    <w:r w:rsidRPr="00A832D4">
      <w:rPr>
        <w:rFonts w:ascii="Monserrat light" w:eastAsia="Times New Roman" w:hAnsi="Monserrat light" w:cs="Times New Roman"/>
        <w:b/>
        <w:bCs/>
        <w:lang w:eastAsia="es-MX"/>
      </w:rPr>
      <w:t xml:space="preserve"> incumplimiento a las </w:t>
    </w:r>
    <w:r w:rsidRPr="00ED05E2">
      <w:rPr>
        <w:rFonts w:ascii="Monserrat light" w:eastAsia="Times New Roman" w:hAnsi="Monserrat light" w:cs="Times New Roman"/>
        <w:b/>
        <w:bCs/>
        <w:lang w:eastAsia="es-MX"/>
      </w:rPr>
      <w:t>Obligaciones de Transparencia</w:t>
    </w:r>
  </w:p>
  <w:p w:rsidR="00973ED8" w:rsidRDefault="00973ED8" w:rsidP="00973ED8">
    <w:pPr>
      <w:spacing w:before="100" w:beforeAutospacing="1" w:after="100" w:afterAutospacing="1" w:line="240" w:lineRule="auto"/>
      <w:jc w:val="both"/>
      <w:rPr>
        <w:rFonts w:ascii="Monserrat light" w:eastAsia="Times New Roman" w:hAnsi="Monserrat light" w:cs="Times New Roman"/>
        <w:lang w:eastAsia="es-MX"/>
      </w:rPr>
    </w:pPr>
    <w:r w:rsidRPr="00ED05E2">
      <w:rPr>
        <w:rFonts w:ascii="Monserrat light" w:eastAsia="Times New Roman" w:hAnsi="Monserrat light" w:cs="Times New Roman"/>
        <w:lang w:eastAsia="es-MX"/>
      </w:rPr>
      <w:t>C</w:t>
    </w:r>
    <w:r w:rsidRPr="00A832D4">
      <w:rPr>
        <w:rFonts w:ascii="Monserrat light" w:eastAsia="Times New Roman" w:hAnsi="Monserrat light" w:cs="Times New Roman"/>
        <w:lang w:eastAsia="es-MX"/>
      </w:rPr>
      <w:t>onsulta</w:t>
    </w:r>
    <w:r w:rsidRPr="00ED05E2">
      <w:rPr>
        <w:rFonts w:ascii="Monserrat light" w:eastAsia="Times New Roman" w:hAnsi="Monserrat light" w:cs="Times New Roman"/>
        <w:lang w:eastAsia="es-MX"/>
      </w:rPr>
      <w:t xml:space="preserve"> las denuncias </w:t>
    </w:r>
    <w:r w:rsidRPr="00A832D4">
      <w:rPr>
        <w:rFonts w:ascii="Monserrat light" w:eastAsia="Times New Roman" w:hAnsi="Monserrat light" w:cs="Times New Roman"/>
        <w:lang w:eastAsia="es-MX"/>
      </w:rPr>
      <w:t xml:space="preserve">presentadas por las personas ante el </w:t>
    </w:r>
    <w:r w:rsidRPr="00A832D4">
      <w:rPr>
        <w:rFonts w:ascii="Monserrat light" w:eastAsia="Times New Roman" w:hAnsi="Monserrat light" w:cs="Times New Roman"/>
        <w:i/>
        <w:lang w:eastAsia="es-MX"/>
      </w:rPr>
      <w:t>Instituto Nacional de Transparencia, Acceso a la Información y Protección de Datos Personales</w:t>
    </w:r>
    <w:r w:rsidRPr="00A832D4">
      <w:rPr>
        <w:rFonts w:ascii="Monserrat light" w:eastAsia="Times New Roman" w:hAnsi="Monserrat light" w:cs="Times New Roman"/>
        <w:lang w:eastAsia="es-MX"/>
      </w:rPr>
      <w:t xml:space="preserve"> (INAI) en contra del </w:t>
    </w:r>
    <w:r w:rsidRPr="00A832D4">
      <w:rPr>
        <w:rFonts w:ascii="Monserrat light" w:eastAsia="Times New Roman" w:hAnsi="Monserrat light" w:cs="Times New Roman"/>
        <w:i/>
        <w:lang w:eastAsia="es-MX"/>
      </w:rPr>
      <w:t>Centro Nacional de Inteligencia</w:t>
    </w:r>
    <w:r w:rsidRPr="00A832D4">
      <w:rPr>
        <w:rFonts w:ascii="Monserrat light" w:eastAsia="Times New Roman" w:hAnsi="Monserrat light" w:cs="Times New Roman"/>
        <w:lang w:eastAsia="es-MX"/>
      </w:rPr>
      <w:t xml:space="preserve"> por incumplimiento y/</w:t>
    </w:r>
    <w:r w:rsidRPr="00ED05E2">
      <w:rPr>
        <w:rFonts w:ascii="Monserrat light" w:eastAsia="Times New Roman" w:hAnsi="Monserrat light" w:cs="Times New Roman"/>
        <w:lang w:eastAsia="es-MX"/>
      </w:rPr>
      <w:t xml:space="preserve">o por la falta de actualización de las Obligaciones de Transparencia previstas en los artículos 70 a 83 de la </w:t>
    </w:r>
    <w:r w:rsidRPr="00ED05E2">
      <w:rPr>
        <w:rFonts w:ascii="Monserrat light" w:eastAsia="Times New Roman" w:hAnsi="Monserrat light" w:cs="Times New Roman"/>
        <w:i/>
        <w:lang w:eastAsia="es-MX"/>
      </w:rPr>
      <w:t xml:space="preserve">Ley General de Transparencia y Acceso a la Información Pública </w:t>
    </w:r>
    <w:r w:rsidRPr="00ED05E2">
      <w:rPr>
        <w:rFonts w:ascii="Monserrat light" w:eastAsia="Times New Roman" w:hAnsi="Monserrat light" w:cs="Times New Roman"/>
        <w:lang w:eastAsia="es-MX"/>
      </w:rPr>
      <w:t xml:space="preserve">y 69 a 76 de la </w:t>
    </w:r>
    <w:r w:rsidRPr="00ED05E2">
      <w:rPr>
        <w:rFonts w:ascii="Monserrat light" w:eastAsia="Times New Roman" w:hAnsi="Monserrat light" w:cs="Times New Roman"/>
        <w:i/>
        <w:lang w:eastAsia="es-MX"/>
      </w:rPr>
      <w:t xml:space="preserve">Ley Federal de Transparencia y </w:t>
    </w:r>
    <w:r w:rsidRPr="00A832D4">
      <w:rPr>
        <w:rFonts w:ascii="Monserrat light" w:eastAsia="Times New Roman" w:hAnsi="Monserrat light" w:cs="Times New Roman"/>
        <w:i/>
        <w:lang w:eastAsia="es-MX"/>
      </w:rPr>
      <w:t>Acceso a la Información Pública</w:t>
    </w:r>
    <w:r w:rsidRPr="00A832D4">
      <w:rPr>
        <w:rFonts w:ascii="Monserrat light" w:eastAsia="Times New Roman" w:hAnsi="Monserrat light" w:cs="Times New Roman"/>
        <w:lang w:eastAsia="es-MX"/>
      </w:rPr>
      <w:t xml:space="preserve"> </w:t>
    </w:r>
    <w:r w:rsidR="00DB6833">
      <w:rPr>
        <w:rFonts w:ascii="Monserrat light" w:eastAsia="Times New Roman" w:hAnsi="Monserrat light" w:cs="Times New Roman"/>
        <w:lang w:eastAsia="es-MX"/>
      </w:rPr>
      <w:t>en</w:t>
    </w:r>
    <w:r w:rsidRPr="00A832D4">
      <w:rPr>
        <w:rFonts w:ascii="Monserrat light" w:eastAsia="Times New Roman" w:hAnsi="Monserrat light" w:cs="Times New Roman"/>
        <w:lang w:eastAsia="es-MX"/>
      </w:rPr>
      <w:t xml:space="preserve"> el año 202</w:t>
    </w:r>
    <w:r w:rsidR="00DB6833">
      <w:rPr>
        <w:rFonts w:ascii="Monserrat light" w:eastAsia="Times New Roman" w:hAnsi="Monserrat light" w:cs="Times New Roman"/>
        <w:lang w:eastAsia="es-MX"/>
      </w:rPr>
      <w:t>2</w:t>
    </w:r>
    <w:r w:rsidRPr="00A832D4">
      <w:rPr>
        <w:rFonts w:ascii="Monserrat light" w:eastAsia="Times New Roman" w:hAnsi="Monserrat light" w:cs="Times New Roman"/>
        <w:lang w:eastAsia="es-MX"/>
      </w:rPr>
      <w:t>.”</w:t>
    </w:r>
    <w:r>
      <w:rPr>
        <w:rFonts w:ascii="Monserrat light" w:eastAsia="Times New Roman" w:hAnsi="Monserrat light" w:cs="Times New Roman"/>
        <w:lang w:eastAsia="es-MX"/>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E2"/>
    <w:rsid w:val="0008305C"/>
    <w:rsid w:val="000A117E"/>
    <w:rsid w:val="00116FE9"/>
    <w:rsid w:val="00132D5A"/>
    <w:rsid w:val="00133252"/>
    <w:rsid w:val="00152487"/>
    <w:rsid w:val="00186583"/>
    <w:rsid w:val="001A7C91"/>
    <w:rsid w:val="001B35FD"/>
    <w:rsid w:val="002374C4"/>
    <w:rsid w:val="00287A0F"/>
    <w:rsid w:val="002A6EFF"/>
    <w:rsid w:val="00345379"/>
    <w:rsid w:val="003E1455"/>
    <w:rsid w:val="00453657"/>
    <w:rsid w:val="00484CC3"/>
    <w:rsid w:val="004855B9"/>
    <w:rsid w:val="004B44D5"/>
    <w:rsid w:val="005945E1"/>
    <w:rsid w:val="005B2B67"/>
    <w:rsid w:val="006724E1"/>
    <w:rsid w:val="00776142"/>
    <w:rsid w:val="007E7A9A"/>
    <w:rsid w:val="0084345E"/>
    <w:rsid w:val="00973ED8"/>
    <w:rsid w:val="0099307A"/>
    <w:rsid w:val="009D5665"/>
    <w:rsid w:val="009E0064"/>
    <w:rsid w:val="00A062D7"/>
    <w:rsid w:val="00A32FF5"/>
    <w:rsid w:val="00A70D2D"/>
    <w:rsid w:val="00A76C5F"/>
    <w:rsid w:val="00A832D4"/>
    <w:rsid w:val="00B76994"/>
    <w:rsid w:val="00BA03B8"/>
    <w:rsid w:val="00BB5F59"/>
    <w:rsid w:val="00C71189"/>
    <w:rsid w:val="00C8022E"/>
    <w:rsid w:val="00CB075D"/>
    <w:rsid w:val="00CC6FF3"/>
    <w:rsid w:val="00D4010C"/>
    <w:rsid w:val="00DB6833"/>
    <w:rsid w:val="00E6323D"/>
    <w:rsid w:val="00EC37AF"/>
    <w:rsid w:val="00ED05E2"/>
    <w:rsid w:val="00ED23AA"/>
    <w:rsid w:val="00F22E09"/>
    <w:rsid w:val="00F46E92"/>
    <w:rsid w:val="00F94061"/>
    <w:rsid w:val="00FD3CA0"/>
    <w:rsid w:val="00FF78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1AFD"/>
  <w15:docId w15:val="{68176267-DA41-41CD-8765-82424521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14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A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73E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3ED8"/>
  </w:style>
  <w:style w:type="paragraph" w:styleId="Piedepgina">
    <w:name w:val="footer"/>
    <w:basedOn w:val="Normal"/>
    <w:link w:val="PiedepginaCar"/>
    <w:uiPriority w:val="99"/>
    <w:unhideWhenUsed/>
    <w:rsid w:val="00973E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3ED8"/>
  </w:style>
  <w:style w:type="character" w:styleId="Hipervnculo">
    <w:name w:val="Hyperlink"/>
    <w:basedOn w:val="Fuentedeprrafopredeter"/>
    <w:uiPriority w:val="99"/>
    <w:semiHidden/>
    <w:unhideWhenUsed/>
    <w:rsid w:val="00CC6FF3"/>
    <w:rPr>
      <w:color w:val="0000FF"/>
      <w:u w:val="single"/>
    </w:rPr>
  </w:style>
  <w:style w:type="paragraph" w:customStyle="1" w:styleId="wordsection1">
    <w:name w:val="wordsection1"/>
    <w:basedOn w:val="Normal"/>
    <w:uiPriority w:val="99"/>
    <w:rsid w:val="00CC6FF3"/>
    <w:pPr>
      <w:spacing w:after="0" w:line="240" w:lineRule="auto"/>
    </w:pPr>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30926">
      <w:bodyDiv w:val="1"/>
      <w:marLeft w:val="0"/>
      <w:marRight w:val="0"/>
      <w:marTop w:val="0"/>
      <w:marBottom w:val="0"/>
      <w:divBdr>
        <w:top w:val="none" w:sz="0" w:space="0" w:color="auto"/>
        <w:left w:val="none" w:sz="0" w:space="0" w:color="auto"/>
        <w:bottom w:val="none" w:sz="0" w:space="0" w:color="auto"/>
        <w:right w:val="none" w:sz="0" w:space="0" w:color="auto"/>
      </w:divBdr>
    </w:div>
    <w:div w:id="58553590">
      <w:bodyDiv w:val="1"/>
      <w:marLeft w:val="0"/>
      <w:marRight w:val="0"/>
      <w:marTop w:val="0"/>
      <w:marBottom w:val="0"/>
      <w:divBdr>
        <w:top w:val="none" w:sz="0" w:space="0" w:color="auto"/>
        <w:left w:val="none" w:sz="0" w:space="0" w:color="auto"/>
        <w:bottom w:val="none" w:sz="0" w:space="0" w:color="auto"/>
        <w:right w:val="none" w:sz="0" w:space="0" w:color="auto"/>
      </w:divBdr>
    </w:div>
    <w:div w:id="276765290">
      <w:bodyDiv w:val="1"/>
      <w:marLeft w:val="0"/>
      <w:marRight w:val="0"/>
      <w:marTop w:val="0"/>
      <w:marBottom w:val="0"/>
      <w:divBdr>
        <w:top w:val="none" w:sz="0" w:space="0" w:color="auto"/>
        <w:left w:val="none" w:sz="0" w:space="0" w:color="auto"/>
        <w:bottom w:val="none" w:sz="0" w:space="0" w:color="auto"/>
        <w:right w:val="none" w:sz="0" w:space="0" w:color="auto"/>
      </w:divBdr>
    </w:div>
    <w:div w:id="343015711">
      <w:bodyDiv w:val="1"/>
      <w:marLeft w:val="0"/>
      <w:marRight w:val="0"/>
      <w:marTop w:val="0"/>
      <w:marBottom w:val="0"/>
      <w:divBdr>
        <w:top w:val="none" w:sz="0" w:space="0" w:color="auto"/>
        <w:left w:val="none" w:sz="0" w:space="0" w:color="auto"/>
        <w:bottom w:val="none" w:sz="0" w:space="0" w:color="auto"/>
        <w:right w:val="none" w:sz="0" w:space="0" w:color="auto"/>
      </w:divBdr>
    </w:div>
    <w:div w:id="1517228388">
      <w:bodyDiv w:val="1"/>
      <w:marLeft w:val="0"/>
      <w:marRight w:val="0"/>
      <w:marTop w:val="0"/>
      <w:marBottom w:val="0"/>
      <w:divBdr>
        <w:top w:val="none" w:sz="0" w:space="0" w:color="auto"/>
        <w:left w:val="none" w:sz="0" w:space="0" w:color="auto"/>
        <w:bottom w:val="none" w:sz="0" w:space="0" w:color="auto"/>
        <w:right w:val="none" w:sz="0" w:space="0" w:color="auto"/>
      </w:divBdr>
    </w:div>
    <w:div w:id="1814592351">
      <w:bodyDiv w:val="1"/>
      <w:marLeft w:val="0"/>
      <w:marRight w:val="0"/>
      <w:marTop w:val="0"/>
      <w:marBottom w:val="0"/>
      <w:divBdr>
        <w:top w:val="none" w:sz="0" w:space="0" w:color="auto"/>
        <w:left w:val="none" w:sz="0" w:space="0" w:color="auto"/>
        <w:bottom w:val="none" w:sz="0" w:space="0" w:color="auto"/>
        <w:right w:val="none" w:sz="0" w:space="0" w:color="auto"/>
      </w:divBdr>
    </w:div>
    <w:div w:id="1989312432">
      <w:bodyDiv w:val="1"/>
      <w:marLeft w:val="0"/>
      <w:marRight w:val="0"/>
      <w:marTop w:val="0"/>
      <w:marBottom w:val="0"/>
      <w:divBdr>
        <w:top w:val="none" w:sz="0" w:space="0" w:color="auto"/>
        <w:left w:val="none" w:sz="0" w:space="0" w:color="auto"/>
        <w:bottom w:val="none" w:sz="0" w:space="0" w:color="auto"/>
        <w:right w:val="none" w:sz="0" w:space="0" w:color="auto"/>
      </w:divBdr>
    </w:div>
    <w:div w:id="20476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gob.mx/actas/DIC-CUM-DIT10362022.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ni.gob.mx/actas/RES-DIT10362022-CNIFUND.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gob.mx/actas/Resoluci&#243;n-DIT0492-2022CNI.pdf"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cni.gob.mx/actas/DIC-CUM-DIT10422022-ACUM-DIT10432022.pdf" TargetMode="External"/><Relationship Id="rId4" Type="http://schemas.openxmlformats.org/officeDocument/2006/relationships/footnotes" Target="footnotes.xml"/><Relationship Id="rId9" Type="http://schemas.openxmlformats.org/officeDocument/2006/relationships/hyperlink" Target="http://www.cni.gob.mx/actas/RES-DIT10422022-ACUM-DIT10432022-CNI-parc-fund.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1422</Words>
  <Characters>7822</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CGJ- Ocampo Vera, Ana L.</cp:lastModifiedBy>
  <cp:revision>12</cp:revision>
  <dcterms:created xsi:type="dcterms:W3CDTF">2022-06-24T22:29:00Z</dcterms:created>
  <dcterms:modified xsi:type="dcterms:W3CDTF">2023-02-11T00:49:00Z</dcterms:modified>
</cp:coreProperties>
</file>