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E3" w:rsidRDefault="002D2DE3" w:rsidP="00973ED8">
      <w:pPr>
        <w:spacing w:after="0" w:line="240" w:lineRule="atLeast"/>
        <w:jc w:val="right"/>
        <w:rPr>
          <w:rFonts w:ascii="Montserrat Light" w:eastAsia="Times New Roman" w:hAnsi="Montserrat Light" w:cs="Times New Roman"/>
          <w:lang w:eastAsia="es-MX"/>
        </w:rPr>
      </w:pPr>
    </w:p>
    <w:p w:rsidR="003E1455" w:rsidRPr="0099307A" w:rsidRDefault="00453657" w:rsidP="00973ED8">
      <w:pPr>
        <w:spacing w:after="0" w:line="240" w:lineRule="atLeast"/>
        <w:jc w:val="right"/>
        <w:rPr>
          <w:rFonts w:ascii="Montserrat Light" w:eastAsia="Times New Roman" w:hAnsi="Montserrat Light" w:cs="Times New Roman"/>
          <w:lang w:eastAsia="es-MX"/>
        </w:rPr>
      </w:pPr>
      <w:r w:rsidRPr="0099307A">
        <w:rPr>
          <w:rFonts w:ascii="Montserrat Light" w:eastAsia="Times New Roman" w:hAnsi="Montserrat Light" w:cs="Times New Roman"/>
          <w:lang w:eastAsia="es-MX"/>
        </w:rPr>
        <w:t>Fecha de actualización 3</w:t>
      </w:r>
      <w:r w:rsidR="0099307A">
        <w:rPr>
          <w:rFonts w:ascii="Montserrat Light" w:eastAsia="Times New Roman" w:hAnsi="Montserrat Light" w:cs="Times New Roman"/>
          <w:lang w:eastAsia="es-MX"/>
        </w:rPr>
        <w:t>1</w:t>
      </w:r>
      <w:r w:rsidR="00ED23AA" w:rsidRPr="0099307A">
        <w:rPr>
          <w:rFonts w:ascii="Montserrat Light" w:eastAsia="Times New Roman" w:hAnsi="Montserrat Light" w:cs="Times New Roman"/>
          <w:lang w:eastAsia="es-MX"/>
        </w:rPr>
        <w:t>/</w:t>
      </w:r>
      <w:r w:rsidR="0099307A">
        <w:rPr>
          <w:rFonts w:ascii="Montserrat Light" w:eastAsia="Times New Roman" w:hAnsi="Montserrat Light" w:cs="Times New Roman"/>
          <w:lang w:eastAsia="es-MX"/>
        </w:rPr>
        <w:t>12</w:t>
      </w:r>
      <w:r w:rsidR="00ED23AA" w:rsidRPr="0099307A">
        <w:rPr>
          <w:rFonts w:ascii="Montserrat Light" w:eastAsia="Times New Roman" w:hAnsi="Montserrat Light" w:cs="Times New Roman"/>
          <w:lang w:eastAsia="es-MX"/>
        </w:rPr>
        <w:t>/2021</w:t>
      </w:r>
    </w:p>
    <w:tbl>
      <w:tblPr>
        <w:tblStyle w:val="Tablaconcuadrcula"/>
        <w:tblpPr w:leftFromText="141" w:rightFromText="141" w:vertAnchor="text" w:horzAnchor="margin" w:tblpX="-68" w:tblpY="189"/>
        <w:tblW w:w="14000" w:type="dxa"/>
        <w:tblLayout w:type="fixed"/>
        <w:tblLook w:val="04A0" w:firstRow="1" w:lastRow="0" w:firstColumn="1" w:lastColumn="0" w:noHBand="0" w:noVBand="1"/>
      </w:tblPr>
      <w:tblGrid>
        <w:gridCol w:w="534"/>
        <w:gridCol w:w="708"/>
        <w:gridCol w:w="1305"/>
        <w:gridCol w:w="4394"/>
        <w:gridCol w:w="1672"/>
        <w:gridCol w:w="1730"/>
        <w:gridCol w:w="1105"/>
        <w:gridCol w:w="2552"/>
      </w:tblGrid>
      <w:tr w:rsidR="00A832D4" w:rsidRPr="003E1455" w:rsidTr="00A32FF5">
        <w:trPr>
          <w:tblHeader/>
        </w:trPr>
        <w:tc>
          <w:tcPr>
            <w:tcW w:w="534" w:type="dxa"/>
            <w:shd w:val="clear" w:color="auto" w:fill="7030A0"/>
            <w:vAlign w:val="center"/>
          </w:tcPr>
          <w:p w:rsidR="000A117E" w:rsidRPr="004B44D5" w:rsidRDefault="002A6EFF" w:rsidP="00A832D4">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No.</w:t>
            </w:r>
          </w:p>
        </w:tc>
        <w:tc>
          <w:tcPr>
            <w:tcW w:w="708" w:type="dxa"/>
            <w:shd w:val="clear" w:color="auto" w:fill="7030A0"/>
            <w:vAlign w:val="center"/>
          </w:tcPr>
          <w:p w:rsidR="000A117E" w:rsidRPr="004B44D5" w:rsidRDefault="002A6EFF" w:rsidP="00A832D4">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Año</w:t>
            </w:r>
          </w:p>
        </w:tc>
        <w:tc>
          <w:tcPr>
            <w:tcW w:w="1305" w:type="dxa"/>
            <w:shd w:val="clear" w:color="auto" w:fill="7030A0"/>
            <w:vAlign w:val="center"/>
          </w:tcPr>
          <w:p w:rsidR="000A117E" w:rsidRPr="004B44D5" w:rsidRDefault="002A6EFF" w:rsidP="00A832D4">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Número de identificación de la denuncia</w:t>
            </w:r>
          </w:p>
        </w:tc>
        <w:tc>
          <w:tcPr>
            <w:tcW w:w="4394" w:type="dxa"/>
            <w:shd w:val="clear" w:color="auto" w:fill="7030A0"/>
            <w:vAlign w:val="center"/>
          </w:tcPr>
          <w:p w:rsidR="000A117E" w:rsidRPr="004B44D5" w:rsidRDefault="002A6EFF" w:rsidP="00A832D4">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Objeto de la denuncia</w:t>
            </w:r>
          </w:p>
        </w:tc>
        <w:tc>
          <w:tcPr>
            <w:tcW w:w="1672" w:type="dxa"/>
            <w:shd w:val="clear" w:color="auto" w:fill="7030A0"/>
            <w:vAlign w:val="center"/>
          </w:tcPr>
          <w:p w:rsidR="000A117E" w:rsidRPr="004B44D5" w:rsidRDefault="002A6EFF" w:rsidP="00A832D4">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Sentido de la resolución emitida por el INAI</w:t>
            </w:r>
          </w:p>
        </w:tc>
        <w:tc>
          <w:tcPr>
            <w:tcW w:w="1730" w:type="dxa"/>
            <w:shd w:val="clear" w:color="auto" w:fill="7030A0"/>
            <w:vAlign w:val="center"/>
          </w:tcPr>
          <w:p w:rsidR="000A117E" w:rsidRPr="004B44D5" w:rsidRDefault="002A6EFF" w:rsidP="00A832D4">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Fecha en que fue emitida la resolución del INAI</w:t>
            </w:r>
          </w:p>
        </w:tc>
        <w:tc>
          <w:tcPr>
            <w:tcW w:w="1105" w:type="dxa"/>
            <w:shd w:val="clear" w:color="auto" w:fill="7030A0"/>
            <w:vAlign w:val="center"/>
          </w:tcPr>
          <w:p w:rsidR="000A117E" w:rsidRPr="004B44D5" w:rsidRDefault="002A6EFF" w:rsidP="00A832D4">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Documento de la denuncia</w:t>
            </w:r>
          </w:p>
        </w:tc>
        <w:tc>
          <w:tcPr>
            <w:tcW w:w="2552" w:type="dxa"/>
            <w:shd w:val="clear" w:color="auto" w:fill="7030A0"/>
            <w:vAlign w:val="center"/>
          </w:tcPr>
          <w:p w:rsidR="000A117E" w:rsidRPr="004B44D5" w:rsidRDefault="002A6EFF" w:rsidP="00A832D4">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Nota</w:t>
            </w:r>
          </w:p>
        </w:tc>
      </w:tr>
      <w:tr w:rsidR="00A832D4" w:rsidTr="00A32FF5">
        <w:trPr>
          <w:trHeight w:val="579"/>
        </w:trPr>
        <w:tc>
          <w:tcPr>
            <w:tcW w:w="534" w:type="dxa"/>
            <w:vAlign w:val="center"/>
          </w:tcPr>
          <w:p w:rsidR="003E1455" w:rsidRPr="0099307A" w:rsidRDefault="003E1455" w:rsidP="00F46E92">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1</w:t>
            </w:r>
          </w:p>
        </w:tc>
        <w:tc>
          <w:tcPr>
            <w:tcW w:w="708" w:type="dxa"/>
            <w:vAlign w:val="center"/>
          </w:tcPr>
          <w:p w:rsidR="003E1455" w:rsidRPr="0099307A" w:rsidRDefault="00A832D4" w:rsidP="00F46E92">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2021</w:t>
            </w:r>
          </w:p>
        </w:tc>
        <w:tc>
          <w:tcPr>
            <w:tcW w:w="1305" w:type="dxa"/>
          </w:tcPr>
          <w:p w:rsidR="003E1455" w:rsidRPr="0099307A" w:rsidRDefault="003E1455" w:rsidP="002A6EFF">
            <w:pPr>
              <w:spacing w:before="100" w:beforeAutospacing="1" w:after="100" w:afterAutospacing="1"/>
              <w:outlineLvl w:val="2"/>
              <w:rPr>
                <w:rFonts w:ascii="Montserrat Light" w:eastAsia="Times New Roman" w:hAnsi="Montserrat Light" w:cs="Times New Roman"/>
                <w:bCs/>
                <w:sz w:val="16"/>
                <w:szCs w:val="16"/>
                <w:lang w:eastAsia="es-MX"/>
              </w:rPr>
            </w:pPr>
          </w:p>
        </w:tc>
        <w:tc>
          <w:tcPr>
            <w:tcW w:w="4394" w:type="dxa"/>
          </w:tcPr>
          <w:p w:rsidR="003E1455" w:rsidRPr="0099307A" w:rsidRDefault="003E1455" w:rsidP="002A6EFF">
            <w:pPr>
              <w:tabs>
                <w:tab w:val="left" w:pos="6804"/>
                <w:tab w:val="left" w:pos="7230"/>
              </w:tabs>
              <w:spacing w:line="360" w:lineRule="auto"/>
              <w:ind w:left="34"/>
              <w:jc w:val="both"/>
              <w:rPr>
                <w:rFonts w:ascii="Montserrat Light" w:eastAsia="Times New Roman" w:hAnsi="Montserrat Light" w:cs="Times New Roman"/>
                <w:i/>
                <w:sz w:val="16"/>
                <w:szCs w:val="16"/>
                <w:lang w:val="es-ES" w:eastAsia="es-MX"/>
              </w:rPr>
            </w:pPr>
          </w:p>
        </w:tc>
        <w:tc>
          <w:tcPr>
            <w:tcW w:w="1672" w:type="dxa"/>
          </w:tcPr>
          <w:p w:rsidR="003E1455" w:rsidRPr="0099307A" w:rsidRDefault="003E1455" w:rsidP="002A6EFF">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730" w:type="dxa"/>
          </w:tcPr>
          <w:p w:rsidR="003E1455" w:rsidRPr="0099307A" w:rsidRDefault="003E1455" w:rsidP="002A6EFF">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105" w:type="dxa"/>
          </w:tcPr>
          <w:p w:rsidR="003E1455" w:rsidRPr="0099307A" w:rsidRDefault="003E1455" w:rsidP="002A6EFF">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552" w:type="dxa"/>
          </w:tcPr>
          <w:p w:rsidR="003E1455" w:rsidRPr="0099307A" w:rsidRDefault="003E1455" w:rsidP="003E1455">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 xml:space="preserve">En el mes de enero el INAI no emitió ninguna resolución sobre denuncias presentadas contra este </w:t>
            </w:r>
            <w:r w:rsidRPr="0099307A">
              <w:rPr>
                <w:rFonts w:ascii="Montserrat Light" w:eastAsia="Times New Roman" w:hAnsi="Montserrat Light" w:cs="Times New Roman"/>
                <w:bCs/>
                <w:i/>
                <w:sz w:val="16"/>
                <w:szCs w:val="16"/>
                <w:lang w:eastAsia="es-MX"/>
              </w:rPr>
              <w:t>Centro Nacional de Inteligencia</w:t>
            </w:r>
            <w:r w:rsidR="00A832D4" w:rsidRPr="0099307A">
              <w:rPr>
                <w:rFonts w:ascii="Montserrat Light" w:eastAsia="Times New Roman" w:hAnsi="Montserrat Light" w:cs="Times New Roman"/>
                <w:bCs/>
                <w:i/>
                <w:sz w:val="16"/>
                <w:szCs w:val="16"/>
                <w:lang w:eastAsia="es-MX"/>
              </w:rPr>
              <w:t>.</w:t>
            </w:r>
          </w:p>
        </w:tc>
      </w:tr>
      <w:tr w:rsidR="00A832D4" w:rsidTr="00A32FF5">
        <w:tc>
          <w:tcPr>
            <w:tcW w:w="534" w:type="dxa"/>
            <w:vAlign w:val="center"/>
          </w:tcPr>
          <w:p w:rsidR="003E1455" w:rsidRPr="0099307A" w:rsidRDefault="003E1455" w:rsidP="00F46E92">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2</w:t>
            </w:r>
          </w:p>
        </w:tc>
        <w:tc>
          <w:tcPr>
            <w:tcW w:w="708" w:type="dxa"/>
            <w:vAlign w:val="center"/>
          </w:tcPr>
          <w:p w:rsidR="003E1455" w:rsidRPr="0099307A" w:rsidRDefault="00A832D4" w:rsidP="00F46E92">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2021</w:t>
            </w:r>
          </w:p>
        </w:tc>
        <w:tc>
          <w:tcPr>
            <w:tcW w:w="1305" w:type="dxa"/>
          </w:tcPr>
          <w:p w:rsidR="003E1455" w:rsidRPr="0099307A" w:rsidRDefault="003E1455" w:rsidP="002A6EFF">
            <w:pPr>
              <w:spacing w:before="100" w:beforeAutospacing="1" w:after="100" w:afterAutospacing="1"/>
              <w:outlineLvl w:val="2"/>
              <w:rPr>
                <w:rFonts w:ascii="Montserrat Light" w:eastAsia="Times New Roman" w:hAnsi="Montserrat Light" w:cs="Times New Roman"/>
                <w:bCs/>
                <w:sz w:val="16"/>
                <w:szCs w:val="16"/>
                <w:lang w:eastAsia="es-MX"/>
              </w:rPr>
            </w:pPr>
          </w:p>
        </w:tc>
        <w:tc>
          <w:tcPr>
            <w:tcW w:w="4394" w:type="dxa"/>
          </w:tcPr>
          <w:p w:rsidR="003E1455" w:rsidRPr="0099307A" w:rsidRDefault="003E1455" w:rsidP="002A6EFF">
            <w:pPr>
              <w:tabs>
                <w:tab w:val="left" w:pos="6804"/>
                <w:tab w:val="left" w:pos="7230"/>
              </w:tabs>
              <w:spacing w:line="360" w:lineRule="auto"/>
              <w:ind w:left="34"/>
              <w:jc w:val="both"/>
              <w:rPr>
                <w:rFonts w:ascii="Montserrat Light" w:eastAsia="Times New Roman" w:hAnsi="Montserrat Light" w:cs="Times New Roman"/>
                <w:i/>
                <w:sz w:val="16"/>
                <w:szCs w:val="16"/>
                <w:lang w:val="es-ES" w:eastAsia="es-MX"/>
              </w:rPr>
            </w:pPr>
          </w:p>
        </w:tc>
        <w:tc>
          <w:tcPr>
            <w:tcW w:w="1672" w:type="dxa"/>
          </w:tcPr>
          <w:p w:rsidR="003E1455" w:rsidRPr="0099307A" w:rsidRDefault="003E1455" w:rsidP="002A6EFF">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730" w:type="dxa"/>
          </w:tcPr>
          <w:p w:rsidR="003E1455" w:rsidRPr="0099307A" w:rsidRDefault="003E1455" w:rsidP="002A6EFF">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105" w:type="dxa"/>
          </w:tcPr>
          <w:p w:rsidR="003E1455" w:rsidRPr="0099307A" w:rsidRDefault="003E1455" w:rsidP="002A6EFF">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552" w:type="dxa"/>
          </w:tcPr>
          <w:p w:rsidR="00A832D4" w:rsidRPr="0099307A" w:rsidRDefault="003E1455" w:rsidP="00A832D4">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 xml:space="preserve">En el mes de febrero el INAI no emitió ninguna resolución sobre denuncias presentadas contra este </w:t>
            </w:r>
            <w:r w:rsidRPr="0099307A">
              <w:rPr>
                <w:rFonts w:ascii="Montserrat Light" w:eastAsia="Times New Roman" w:hAnsi="Montserrat Light" w:cs="Times New Roman"/>
                <w:bCs/>
                <w:i/>
                <w:sz w:val="16"/>
                <w:szCs w:val="16"/>
                <w:lang w:eastAsia="es-MX"/>
              </w:rPr>
              <w:t>Centro Nacional de Inteligencia</w:t>
            </w:r>
            <w:r w:rsidR="00A832D4" w:rsidRPr="0099307A">
              <w:rPr>
                <w:rFonts w:ascii="Montserrat Light" w:eastAsia="Times New Roman" w:hAnsi="Montserrat Light" w:cs="Times New Roman"/>
                <w:bCs/>
                <w:i/>
                <w:sz w:val="16"/>
                <w:szCs w:val="16"/>
                <w:lang w:eastAsia="es-MX"/>
              </w:rPr>
              <w:t>.</w:t>
            </w:r>
          </w:p>
        </w:tc>
      </w:tr>
      <w:tr w:rsidR="004B44D5" w:rsidTr="00A32FF5">
        <w:trPr>
          <w:trHeight w:val="2151"/>
        </w:trPr>
        <w:tc>
          <w:tcPr>
            <w:tcW w:w="534" w:type="dxa"/>
            <w:vAlign w:val="center"/>
          </w:tcPr>
          <w:p w:rsidR="004B44D5" w:rsidRPr="0099307A" w:rsidRDefault="004B44D5" w:rsidP="004B44D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3</w:t>
            </w:r>
          </w:p>
        </w:tc>
        <w:tc>
          <w:tcPr>
            <w:tcW w:w="708" w:type="dxa"/>
            <w:vAlign w:val="center"/>
          </w:tcPr>
          <w:p w:rsidR="004B44D5" w:rsidRPr="0099307A" w:rsidRDefault="004B44D5" w:rsidP="004B44D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2021</w:t>
            </w:r>
          </w:p>
        </w:tc>
        <w:tc>
          <w:tcPr>
            <w:tcW w:w="1305" w:type="dxa"/>
            <w:vAlign w:val="center"/>
          </w:tcPr>
          <w:p w:rsidR="004B44D5" w:rsidRPr="0099307A" w:rsidRDefault="004B44D5" w:rsidP="004B44D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DIT 0067-2021</w:t>
            </w:r>
          </w:p>
        </w:tc>
        <w:tc>
          <w:tcPr>
            <w:tcW w:w="4394" w:type="dxa"/>
          </w:tcPr>
          <w:p w:rsidR="004B44D5" w:rsidRPr="0099307A" w:rsidRDefault="004B44D5" w:rsidP="0099307A">
            <w:pPr>
              <w:ind w:left="33" w:right="34" w:hanging="33"/>
              <w:jc w:val="both"/>
              <w:rPr>
                <w:rFonts w:ascii="Montserrat Light" w:eastAsia="Times New Roman" w:hAnsi="Montserrat Light" w:cs="Times New Roman"/>
                <w:bCs/>
                <w:i/>
                <w:sz w:val="16"/>
                <w:szCs w:val="16"/>
                <w:lang w:eastAsia="es-MX"/>
              </w:rPr>
            </w:pPr>
            <w:r w:rsidRPr="0099307A">
              <w:rPr>
                <w:rFonts w:ascii="Montserrat Light" w:eastAsia="Times New Roman" w:hAnsi="Montserrat Light" w:cs="Times New Roman"/>
                <w:bCs/>
                <w:i/>
                <w:sz w:val="16"/>
                <w:szCs w:val="16"/>
                <w:lang w:eastAsia="es-MX"/>
              </w:rPr>
              <w:t xml:space="preserve">Estoy inconforme porque el sujeto obligado incumple en publicar las resoluciones por medio de las cuales sanciona a los servidores públicos adscritos a su dependencia. </w:t>
            </w:r>
          </w:p>
          <w:p w:rsidR="004B44D5" w:rsidRPr="0099307A" w:rsidRDefault="004B44D5" w:rsidP="0099307A">
            <w:pPr>
              <w:ind w:left="33" w:right="34" w:hanging="33"/>
              <w:jc w:val="both"/>
              <w:rPr>
                <w:rFonts w:ascii="Montserrat Light" w:eastAsia="Times New Roman" w:hAnsi="Montserrat Light" w:cs="Times New Roman"/>
                <w:i/>
                <w:sz w:val="16"/>
                <w:szCs w:val="16"/>
                <w:lang w:val="es-ES" w:eastAsia="es-MX"/>
              </w:rPr>
            </w:pPr>
            <w:r w:rsidRPr="0099307A">
              <w:rPr>
                <w:rFonts w:ascii="Montserrat Light" w:eastAsia="Times New Roman" w:hAnsi="Montserrat Light" w:cs="Times New Roman"/>
                <w:bCs/>
                <w:i/>
                <w:sz w:val="16"/>
                <w:szCs w:val="16"/>
                <w:lang w:eastAsia="es-MX"/>
              </w:rPr>
              <w:t>Además de dar a conocer el nombre, tipo de sanción, cargo del servidor público denunciado, el sujeto obligado debe proporcionar una versión pública de las resoluciones que emiten las áreas (como los OIC) en materia administrativa para sancionar a quienes cometen faltas. Sin embargo, éstas resoluciones no fueron subidas por el sujeto obligado.” (sic)</w:t>
            </w:r>
          </w:p>
        </w:tc>
        <w:tc>
          <w:tcPr>
            <w:tcW w:w="1672" w:type="dxa"/>
            <w:vAlign w:val="center"/>
          </w:tcPr>
          <w:p w:rsidR="004B44D5" w:rsidRPr="0099307A" w:rsidRDefault="004B44D5" w:rsidP="004B44D5">
            <w:pPr>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Infundada</w:t>
            </w:r>
          </w:p>
        </w:tc>
        <w:tc>
          <w:tcPr>
            <w:tcW w:w="1730" w:type="dxa"/>
            <w:vAlign w:val="center"/>
          </w:tcPr>
          <w:p w:rsidR="004B44D5" w:rsidRPr="0099307A" w:rsidRDefault="004B44D5" w:rsidP="004B44D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10/marzo/2021</w:t>
            </w:r>
          </w:p>
        </w:tc>
        <w:tc>
          <w:tcPr>
            <w:tcW w:w="1105" w:type="dxa"/>
          </w:tcPr>
          <w:p w:rsidR="004B44D5" w:rsidRPr="0099307A" w:rsidRDefault="004B44D5" w:rsidP="004B44D5">
            <w:pPr>
              <w:rPr>
                <w:rFonts w:ascii="Montserrat Light" w:eastAsia="Calibri" w:hAnsi="Montserrat Light" w:cs="Times New Roman"/>
                <w:color w:val="1F497D"/>
                <w:sz w:val="16"/>
                <w:szCs w:val="16"/>
              </w:rPr>
            </w:pPr>
          </w:p>
          <w:p w:rsidR="004B44D5" w:rsidRPr="0099307A" w:rsidRDefault="004B44D5" w:rsidP="004B44D5">
            <w:pPr>
              <w:rPr>
                <w:rFonts w:ascii="Montserrat Light" w:eastAsia="Calibri" w:hAnsi="Montserrat Light" w:cs="Times New Roman"/>
                <w:color w:val="1F497D"/>
                <w:sz w:val="16"/>
                <w:szCs w:val="16"/>
              </w:rPr>
            </w:pPr>
          </w:p>
          <w:p w:rsidR="004B44D5" w:rsidRPr="0099307A" w:rsidRDefault="004B44D5" w:rsidP="004B44D5">
            <w:pPr>
              <w:rPr>
                <w:rFonts w:ascii="Montserrat Light" w:eastAsia="Calibri" w:hAnsi="Montserrat Light" w:cs="Times New Roman"/>
                <w:color w:val="1F497D"/>
                <w:sz w:val="16"/>
                <w:szCs w:val="16"/>
              </w:rPr>
            </w:pPr>
          </w:p>
          <w:p w:rsidR="004B44D5" w:rsidRPr="0099307A" w:rsidRDefault="004B44D5" w:rsidP="004B44D5">
            <w:pPr>
              <w:rPr>
                <w:rFonts w:ascii="Montserrat Light" w:eastAsia="Calibri" w:hAnsi="Montserrat Light" w:cs="Times New Roman"/>
                <w:color w:val="1F497D"/>
                <w:sz w:val="16"/>
                <w:szCs w:val="16"/>
              </w:rPr>
            </w:pPr>
          </w:p>
          <w:p w:rsidR="004B44D5" w:rsidRPr="0099307A" w:rsidRDefault="004B44D5" w:rsidP="004B44D5">
            <w:pPr>
              <w:rPr>
                <w:rFonts w:ascii="Montserrat Light" w:eastAsia="Calibri" w:hAnsi="Montserrat Light" w:cs="Times New Roman"/>
                <w:color w:val="1F497D"/>
                <w:sz w:val="16"/>
                <w:szCs w:val="16"/>
              </w:rPr>
            </w:pPr>
          </w:p>
          <w:p w:rsidR="004B44D5" w:rsidRPr="0099307A" w:rsidRDefault="00891678" w:rsidP="0099307A">
            <w:pPr>
              <w:rPr>
                <w:rFonts w:ascii="Montserrat Light" w:eastAsia="Times New Roman" w:hAnsi="Montserrat Light" w:cs="Times New Roman"/>
                <w:bCs/>
                <w:sz w:val="16"/>
                <w:szCs w:val="16"/>
                <w:lang w:eastAsia="es-MX"/>
              </w:rPr>
            </w:pPr>
            <w:hyperlink r:id="rId7" w:history="1">
              <w:r w:rsidR="004B44D5" w:rsidRPr="0099307A">
                <w:rPr>
                  <w:rFonts w:ascii="Montserrat Light" w:eastAsia="Calibri" w:hAnsi="Montserrat Light" w:cs="Times New Roman"/>
                  <w:color w:val="0000FF"/>
                  <w:sz w:val="16"/>
                  <w:szCs w:val="16"/>
                  <w:u w:val="single"/>
                </w:rPr>
                <w:t>http://www.cni.gob.mx/actas/Resolucion-DIT-067-21.pdf</w:t>
              </w:r>
            </w:hyperlink>
          </w:p>
        </w:tc>
        <w:tc>
          <w:tcPr>
            <w:tcW w:w="2552" w:type="dxa"/>
            <w:vAlign w:val="center"/>
          </w:tcPr>
          <w:p w:rsidR="004B44D5" w:rsidRPr="0099307A" w:rsidRDefault="004B44D5" w:rsidP="004B44D5">
            <w:pPr>
              <w:spacing w:before="100" w:beforeAutospacing="1" w:after="100" w:afterAutospacing="1"/>
              <w:jc w:val="center"/>
              <w:outlineLvl w:val="2"/>
              <w:rPr>
                <w:rFonts w:ascii="Montserrat Light" w:eastAsia="Times New Roman" w:hAnsi="Montserrat Light" w:cs="Times New Roman"/>
                <w:bCs/>
                <w:sz w:val="16"/>
                <w:szCs w:val="16"/>
                <w:lang w:eastAsia="es-MX"/>
              </w:rPr>
            </w:pPr>
          </w:p>
        </w:tc>
      </w:tr>
      <w:tr w:rsidR="0099307A" w:rsidTr="00A32FF5">
        <w:trPr>
          <w:trHeight w:val="1273"/>
        </w:trPr>
        <w:tc>
          <w:tcPr>
            <w:tcW w:w="534" w:type="dxa"/>
            <w:vAlign w:val="center"/>
          </w:tcPr>
          <w:p w:rsidR="0099307A" w:rsidRPr="0099307A" w:rsidRDefault="0099307A" w:rsidP="0099307A">
            <w:pPr>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4</w:t>
            </w:r>
          </w:p>
        </w:tc>
        <w:tc>
          <w:tcPr>
            <w:tcW w:w="708" w:type="dxa"/>
            <w:vAlign w:val="center"/>
          </w:tcPr>
          <w:p w:rsidR="0099307A" w:rsidRPr="0099307A" w:rsidRDefault="0099307A" w:rsidP="0099307A">
            <w:pPr>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2021</w:t>
            </w:r>
          </w:p>
        </w:tc>
        <w:tc>
          <w:tcPr>
            <w:tcW w:w="1305" w:type="dxa"/>
            <w:vAlign w:val="center"/>
          </w:tcPr>
          <w:p w:rsidR="0099307A" w:rsidRPr="0099307A" w:rsidRDefault="0099307A" w:rsidP="0099307A">
            <w:pPr>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DIT 0097-2021</w:t>
            </w:r>
          </w:p>
        </w:tc>
        <w:tc>
          <w:tcPr>
            <w:tcW w:w="4394" w:type="dxa"/>
          </w:tcPr>
          <w:p w:rsidR="0099307A" w:rsidRPr="0099307A" w:rsidRDefault="0099307A" w:rsidP="0099307A">
            <w:pPr>
              <w:tabs>
                <w:tab w:val="left" w:pos="6804"/>
                <w:tab w:val="left" w:pos="7230"/>
              </w:tabs>
              <w:ind w:left="34"/>
              <w:jc w:val="both"/>
              <w:rPr>
                <w:rFonts w:ascii="Montserrat Light" w:eastAsia="Times New Roman" w:hAnsi="Montserrat Light" w:cs="Times New Roman"/>
                <w:i/>
                <w:sz w:val="16"/>
                <w:szCs w:val="16"/>
                <w:lang w:val="es-ES" w:eastAsia="es-MX"/>
              </w:rPr>
            </w:pPr>
            <w:r w:rsidRPr="0099307A">
              <w:rPr>
                <w:rFonts w:ascii="Montserrat Light" w:eastAsia="Times New Roman" w:hAnsi="Montserrat Light" w:cs="Times New Roman"/>
                <w:i/>
                <w:sz w:val="16"/>
                <w:szCs w:val="16"/>
                <w:lang w:val="es-ES" w:eastAsia="es-MX"/>
              </w:rPr>
              <w:t>“Las ligas de los Informes del sujeto obligado, comprendidos en el apartado de Informes, no están activadas</w:t>
            </w:r>
          </w:p>
          <w:p w:rsidR="0099307A" w:rsidRPr="0099307A" w:rsidRDefault="00891678" w:rsidP="0099307A">
            <w:pPr>
              <w:tabs>
                <w:tab w:val="left" w:pos="6804"/>
                <w:tab w:val="left" w:pos="7230"/>
              </w:tabs>
              <w:ind w:left="34"/>
              <w:jc w:val="both"/>
              <w:rPr>
                <w:rFonts w:ascii="Montserrat Light" w:eastAsia="Times New Roman" w:hAnsi="Montserrat Light" w:cs="Times New Roman"/>
                <w:i/>
                <w:sz w:val="16"/>
                <w:szCs w:val="16"/>
                <w:lang w:eastAsia="es-MX"/>
              </w:rPr>
            </w:pPr>
            <w:hyperlink r:id="rId8" w:history="1">
              <w:r w:rsidR="0099307A" w:rsidRPr="0099307A">
                <w:rPr>
                  <w:rFonts w:ascii="Montserrat Light" w:eastAsia="Times New Roman" w:hAnsi="Montserrat Light" w:cs="Times New Roman"/>
                  <w:i/>
                  <w:color w:val="0000FF" w:themeColor="hyperlink"/>
                  <w:sz w:val="16"/>
                  <w:szCs w:val="16"/>
                  <w:u w:val="single"/>
                  <w:lang w:eastAsia="es-MX"/>
                </w:rPr>
                <w:t>http://www.cni.gob.mx/actas/Informe1erTrim.pdf</w:t>
              </w:r>
            </w:hyperlink>
          </w:p>
          <w:p w:rsidR="0099307A" w:rsidRPr="0099307A" w:rsidRDefault="00891678" w:rsidP="0099307A">
            <w:pPr>
              <w:tabs>
                <w:tab w:val="left" w:pos="6804"/>
                <w:tab w:val="left" w:pos="7230"/>
              </w:tabs>
              <w:ind w:left="34"/>
              <w:jc w:val="both"/>
              <w:rPr>
                <w:rFonts w:ascii="Montserrat Light" w:eastAsia="Times New Roman" w:hAnsi="Montserrat Light" w:cs="Times New Roman"/>
                <w:i/>
                <w:sz w:val="16"/>
                <w:szCs w:val="16"/>
                <w:lang w:eastAsia="es-MX"/>
              </w:rPr>
            </w:pPr>
            <w:hyperlink r:id="rId9" w:history="1">
              <w:r w:rsidR="0099307A" w:rsidRPr="0099307A">
                <w:rPr>
                  <w:rFonts w:ascii="Montserrat Light" w:eastAsia="Times New Roman" w:hAnsi="Montserrat Light" w:cs="Times New Roman"/>
                  <w:i/>
                  <w:color w:val="0000FF" w:themeColor="hyperlink"/>
                  <w:sz w:val="16"/>
                  <w:szCs w:val="16"/>
                  <w:u w:val="single"/>
                  <w:lang w:eastAsia="es-MX"/>
                </w:rPr>
                <w:t>http://www.cni.gob.mx/actas/Info3ersemestre.pdf</w:t>
              </w:r>
            </w:hyperlink>
          </w:p>
          <w:p w:rsidR="0099307A" w:rsidRPr="0099307A" w:rsidRDefault="00891678" w:rsidP="0099307A">
            <w:pPr>
              <w:tabs>
                <w:tab w:val="left" w:pos="6804"/>
                <w:tab w:val="left" w:pos="7230"/>
              </w:tabs>
              <w:ind w:left="34"/>
              <w:jc w:val="both"/>
              <w:rPr>
                <w:rFonts w:ascii="Montserrat Light" w:eastAsia="Times New Roman" w:hAnsi="Montserrat Light" w:cs="Times New Roman"/>
                <w:b/>
                <w:bCs/>
                <w:sz w:val="16"/>
                <w:szCs w:val="16"/>
                <w:lang w:val="en-US" w:eastAsia="es-MX"/>
              </w:rPr>
            </w:pPr>
            <w:hyperlink r:id="rId10" w:history="1">
              <w:r w:rsidR="0099307A" w:rsidRPr="0099307A">
                <w:rPr>
                  <w:rFonts w:ascii="Montserrat Light" w:eastAsia="Times New Roman" w:hAnsi="Montserrat Light" w:cs="Times New Roman"/>
                  <w:i/>
                  <w:color w:val="0000FF" w:themeColor="hyperlink"/>
                  <w:sz w:val="16"/>
                  <w:szCs w:val="16"/>
                  <w:u w:val="single"/>
                  <w:lang w:val="en-US" w:eastAsia="es-MX"/>
                </w:rPr>
                <w:t>http://www.cni.gob.mx/actas/Informe4-Trimestre.pdf</w:t>
              </w:r>
            </w:hyperlink>
            <w:r w:rsidR="0099307A" w:rsidRPr="0099307A">
              <w:rPr>
                <w:rFonts w:ascii="Montserrat Light" w:eastAsia="Times New Roman" w:hAnsi="Montserrat Light" w:cs="Times New Roman"/>
                <w:i/>
                <w:sz w:val="16"/>
                <w:szCs w:val="16"/>
                <w:lang w:val="en-US" w:eastAsia="es-MX"/>
              </w:rPr>
              <w:t>” (sic)</w:t>
            </w:r>
          </w:p>
        </w:tc>
        <w:tc>
          <w:tcPr>
            <w:tcW w:w="1672" w:type="dxa"/>
            <w:vAlign w:val="center"/>
          </w:tcPr>
          <w:p w:rsidR="0099307A" w:rsidRPr="0099307A" w:rsidRDefault="0099307A" w:rsidP="0099307A">
            <w:pPr>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Infundada</w:t>
            </w:r>
          </w:p>
        </w:tc>
        <w:tc>
          <w:tcPr>
            <w:tcW w:w="1730" w:type="dxa"/>
            <w:vAlign w:val="center"/>
          </w:tcPr>
          <w:p w:rsidR="0099307A" w:rsidRPr="0099307A" w:rsidRDefault="0099307A" w:rsidP="0099307A">
            <w:pPr>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17/marzo/2021</w:t>
            </w:r>
          </w:p>
        </w:tc>
        <w:tc>
          <w:tcPr>
            <w:tcW w:w="1105" w:type="dxa"/>
          </w:tcPr>
          <w:p w:rsidR="0099307A" w:rsidRPr="0099307A" w:rsidRDefault="00891678" w:rsidP="0099307A">
            <w:pPr>
              <w:rPr>
                <w:rFonts w:ascii="Montserrat Light" w:eastAsia="Calibri" w:hAnsi="Montserrat Light" w:cs="Times New Roman"/>
                <w:color w:val="1F497D"/>
                <w:sz w:val="16"/>
                <w:szCs w:val="16"/>
              </w:rPr>
            </w:pPr>
            <w:hyperlink r:id="rId11" w:history="1">
              <w:r w:rsidR="0099307A" w:rsidRPr="0099307A">
                <w:rPr>
                  <w:rFonts w:ascii="Montserrat Light" w:eastAsia="Calibri" w:hAnsi="Montserrat Light" w:cs="Times New Roman"/>
                  <w:color w:val="0000FF"/>
                  <w:sz w:val="16"/>
                  <w:szCs w:val="16"/>
                  <w:u w:val="single"/>
                </w:rPr>
                <w:t>http://www.cni.gob.mx/actas/Resolucion-DIT-0097-21.pdf</w:t>
              </w:r>
            </w:hyperlink>
          </w:p>
          <w:p w:rsidR="0099307A" w:rsidRPr="0099307A" w:rsidRDefault="0099307A" w:rsidP="0099307A">
            <w:pPr>
              <w:outlineLvl w:val="2"/>
              <w:rPr>
                <w:rFonts w:ascii="Montserrat Light" w:eastAsia="Times New Roman" w:hAnsi="Montserrat Light" w:cs="Times New Roman"/>
                <w:b/>
                <w:bCs/>
                <w:sz w:val="16"/>
                <w:szCs w:val="16"/>
                <w:lang w:eastAsia="es-MX"/>
              </w:rPr>
            </w:pPr>
          </w:p>
        </w:tc>
        <w:tc>
          <w:tcPr>
            <w:tcW w:w="2552" w:type="dxa"/>
          </w:tcPr>
          <w:p w:rsidR="0099307A" w:rsidRPr="0099307A" w:rsidRDefault="0099307A" w:rsidP="0099307A">
            <w:pPr>
              <w:outlineLvl w:val="2"/>
              <w:rPr>
                <w:rFonts w:ascii="Montserrat Light" w:eastAsia="Times New Roman" w:hAnsi="Montserrat Light" w:cs="Times New Roman"/>
                <w:b/>
                <w:bCs/>
                <w:sz w:val="16"/>
                <w:szCs w:val="16"/>
                <w:lang w:eastAsia="es-MX"/>
              </w:rPr>
            </w:pPr>
          </w:p>
        </w:tc>
      </w:tr>
    </w:tbl>
    <w:p w:rsidR="00ED23AA" w:rsidRDefault="00F46E92" w:rsidP="00A32FF5">
      <w:pPr>
        <w:spacing w:after="0" w:line="240" w:lineRule="atLeast"/>
        <w:jc w:val="right"/>
      </w:pPr>
      <w:r>
        <w:br w:type="page"/>
      </w:r>
      <w:r w:rsidR="00ED23AA" w:rsidRPr="00A32FF5">
        <w:rPr>
          <w:rFonts w:ascii="Montserrat Light" w:eastAsia="Times New Roman" w:hAnsi="Montserrat Light" w:cs="Times New Roman"/>
          <w:lang w:eastAsia="es-MX"/>
        </w:rPr>
        <w:t>Fecha de actualización 31/</w:t>
      </w:r>
      <w:r w:rsidR="00F22E09">
        <w:rPr>
          <w:rFonts w:ascii="Montserrat Light" w:eastAsia="Times New Roman" w:hAnsi="Montserrat Light" w:cs="Times New Roman"/>
          <w:lang w:eastAsia="es-MX"/>
        </w:rPr>
        <w:t>12</w:t>
      </w:r>
      <w:r w:rsidR="00ED23AA" w:rsidRPr="00A32FF5">
        <w:rPr>
          <w:rFonts w:ascii="Montserrat Light" w:eastAsia="Times New Roman" w:hAnsi="Montserrat Light" w:cs="Times New Roman"/>
          <w:lang w:eastAsia="es-MX"/>
        </w:rPr>
        <w:t>/2021</w:t>
      </w:r>
    </w:p>
    <w:tbl>
      <w:tblPr>
        <w:tblStyle w:val="Tablaconcuadrcula"/>
        <w:tblpPr w:leftFromText="141" w:rightFromText="141" w:vertAnchor="text" w:horzAnchor="margin" w:tblpY="139"/>
        <w:tblW w:w="14000" w:type="dxa"/>
        <w:tblLayout w:type="fixed"/>
        <w:tblLook w:val="04A0" w:firstRow="1" w:lastRow="0" w:firstColumn="1" w:lastColumn="0" w:noHBand="0" w:noVBand="1"/>
      </w:tblPr>
      <w:tblGrid>
        <w:gridCol w:w="534"/>
        <w:gridCol w:w="708"/>
        <w:gridCol w:w="1560"/>
        <w:gridCol w:w="3997"/>
        <w:gridCol w:w="1701"/>
        <w:gridCol w:w="1701"/>
        <w:gridCol w:w="1134"/>
        <w:gridCol w:w="2665"/>
      </w:tblGrid>
      <w:tr w:rsidR="00A32FF5" w:rsidRPr="003E1455" w:rsidTr="00A32FF5">
        <w:trPr>
          <w:tblHeader/>
        </w:trPr>
        <w:tc>
          <w:tcPr>
            <w:tcW w:w="534" w:type="dxa"/>
            <w:shd w:val="clear" w:color="auto" w:fill="7030A0"/>
            <w:vAlign w:val="center"/>
          </w:tcPr>
          <w:p w:rsidR="00A32FF5" w:rsidRPr="003E1455" w:rsidRDefault="00A32FF5" w:rsidP="00A32FF5">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No.</w:t>
            </w:r>
          </w:p>
        </w:tc>
        <w:tc>
          <w:tcPr>
            <w:tcW w:w="708" w:type="dxa"/>
            <w:shd w:val="clear" w:color="auto" w:fill="7030A0"/>
            <w:vAlign w:val="center"/>
          </w:tcPr>
          <w:p w:rsidR="00A32FF5" w:rsidRPr="003E1455" w:rsidRDefault="00A32FF5" w:rsidP="00A32FF5">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Año</w:t>
            </w:r>
          </w:p>
        </w:tc>
        <w:tc>
          <w:tcPr>
            <w:tcW w:w="1560" w:type="dxa"/>
            <w:shd w:val="clear" w:color="auto" w:fill="7030A0"/>
            <w:vAlign w:val="center"/>
          </w:tcPr>
          <w:p w:rsidR="00A32FF5" w:rsidRPr="003E1455" w:rsidRDefault="00A32FF5" w:rsidP="00A32FF5">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Número de identificación de la denuncia</w:t>
            </w:r>
          </w:p>
        </w:tc>
        <w:tc>
          <w:tcPr>
            <w:tcW w:w="3997" w:type="dxa"/>
            <w:shd w:val="clear" w:color="auto" w:fill="7030A0"/>
            <w:vAlign w:val="center"/>
          </w:tcPr>
          <w:p w:rsidR="00A32FF5" w:rsidRPr="003E1455" w:rsidRDefault="00A32FF5" w:rsidP="00A32FF5">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Objeto de la denuncia</w:t>
            </w:r>
          </w:p>
        </w:tc>
        <w:tc>
          <w:tcPr>
            <w:tcW w:w="1701" w:type="dxa"/>
            <w:shd w:val="clear" w:color="auto" w:fill="7030A0"/>
            <w:vAlign w:val="center"/>
          </w:tcPr>
          <w:p w:rsidR="00A32FF5" w:rsidRPr="003E1455" w:rsidRDefault="00A32FF5" w:rsidP="00A32FF5">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Sentido de la resolución emitida por el INAI</w:t>
            </w:r>
          </w:p>
        </w:tc>
        <w:tc>
          <w:tcPr>
            <w:tcW w:w="1701" w:type="dxa"/>
            <w:shd w:val="clear" w:color="auto" w:fill="7030A0"/>
            <w:vAlign w:val="center"/>
          </w:tcPr>
          <w:p w:rsidR="00A32FF5" w:rsidRPr="003E1455" w:rsidRDefault="00A32FF5" w:rsidP="00A32FF5">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Fecha en que fue emitida la resolución del INAI</w:t>
            </w:r>
          </w:p>
        </w:tc>
        <w:tc>
          <w:tcPr>
            <w:tcW w:w="1134" w:type="dxa"/>
            <w:shd w:val="clear" w:color="auto" w:fill="7030A0"/>
            <w:vAlign w:val="center"/>
          </w:tcPr>
          <w:p w:rsidR="00A32FF5" w:rsidRPr="003E1455" w:rsidRDefault="00A32FF5" w:rsidP="00A32FF5">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Documento de la denuncia</w:t>
            </w:r>
          </w:p>
        </w:tc>
        <w:tc>
          <w:tcPr>
            <w:tcW w:w="2665" w:type="dxa"/>
            <w:shd w:val="clear" w:color="auto" w:fill="7030A0"/>
            <w:vAlign w:val="center"/>
          </w:tcPr>
          <w:p w:rsidR="00A32FF5" w:rsidRPr="003E1455" w:rsidRDefault="00A32FF5" w:rsidP="00A32FF5">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Nota</w:t>
            </w:r>
          </w:p>
        </w:tc>
      </w:tr>
      <w:tr w:rsidR="00A32FF5" w:rsidTr="00A32FF5">
        <w:tc>
          <w:tcPr>
            <w:tcW w:w="534" w:type="dxa"/>
            <w:vAlign w:val="center"/>
          </w:tcPr>
          <w:p w:rsidR="00A32FF5" w:rsidRPr="00A32FF5" w:rsidRDefault="00A32FF5" w:rsidP="00A32FF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5</w:t>
            </w:r>
          </w:p>
        </w:tc>
        <w:tc>
          <w:tcPr>
            <w:tcW w:w="708" w:type="dxa"/>
            <w:vAlign w:val="center"/>
          </w:tcPr>
          <w:p w:rsidR="00A32FF5" w:rsidRPr="00A32FF5" w:rsidRDefault="00A32FF5" w:rsidP="00A32FF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2021</w:t>
            </w:r>
          </w:p>
        </w:tc>
        <w:tc>
          <w:tcPr>
            <w:tcW w:w="1560"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997" w:type="dxa"/>
          </w:tcPr>
          <w:p w:rsidR="00A32FF5" w:rsidRPr="00A32FF5" w:rsidRDefault="00A32FF5" w:rsidP="00A32FF5">
            <w:pPr>
              <w:tabs>
                <w:tab w:val="left" w:pos="6804"/>
                <w:tab w:val="left" w:pos="7230"/>
              </w:tabs>
              <w:spacing w:line="360" w:lineRule="auto"/>
              <w:ind w:left="34"/>
              <w:jc w:val="both"/>
              <w:rPr>
                <w:rFonts w:ascii="Montserrat Light" w:eastAsia="Times New Roman" w:hAnsi="Montserrat Light" w:cs="Times New Roman"/>
                <w:i/>
                <w:sz w:val="16"/>
                <w:szCs w:val="16"/>
                <w:lang w:val="es-ES" w:eastAsia="es-MX"/>
              </w:rPr>
            </w:pPr>
          </w:p>
        </w:tc>
        <w:tc>
          <w:tcPr>
            <w:tcW w:w="1701"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701"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134"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665" w:type="dxa"/>
          </w:tcPr>
          <w:p w:rsidR="00A32FF5" w:rsidRPr="00A32FF5" w:rsidRDefault="00A32FF5" w:rsidP="00A32FF5">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 xml:space="preserve">En el mes de abril el INAI no emitió ninguna resolución sobre denuncias presentadas contra este </w:t>
            </w:r>
            <w:r w:rsidRPr="00A32FF5">
              <w:rPr>
                <w:rFonts w:ascii="Montserrat Light" w:eastAsia="Times New Roman" w:hAnsi="Montserrat Light" w:cs="Times New Roman"/>
                <w:bCs/>
                <w:i/>
                <w:sz w:val="16"/>
                <w:szCs w:val="16"/>
                <w:lang w:eastAsia="es-MX"/>
              </w:rPr>
              <w:t>Centro Nacional de Inteligencia.</w:t>
            </w:r>
          </w:p>
        </w:tc>
      </w:tr>
      <w:tr w:rsidR="00A32FF5" w:rsidTr="00A32FF5">
        <w:tc>
          <w:tcPr>
            <w:tcW w:w="534" w:type="dxa"/>
            <w:vAlign w:val="center"/>
          </w:tcPr>
          <w:p w:rsidR="00A32FF5" w:rsidRPr="00A32FF5" w:rsidRDefault="00A32FF5" w:rsidP="00A32FF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6</w:t>
            </w:r>
          </w:p>
        </w:tc>
        <w:tc>
          <w:tcPr>
            <w:tcW w:w="708" w:type="dxa"/>
            <w:vAlign w:val="center"/>
          </w:tcPr>
          <w:p w:rsidR="00A32FF5" w:rsidRPr="00A32FF5" w:rsidRDefault="00A32FF5" w:rsidP="00A32FF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2021</w:t>
            </w:r>
          </w:p>
        </w:tc>
        <w:tc>
          <w:tcPr>
            <w:tcW w:w="1560"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997" w:type="dxa"/>
          </w:tcPr>
          <w:p w:rsidR="00A32FF5" w:rsidRPr="00A32FF5" w:rsidRDefault="00A32FF5" w:rsidP="00A32FF5">
            <w:pPr>
              <w:tabs>
                <w:tab w:val="left" w:pos="6804"/>
                <w:tab w:val="left" w:pos="7230"/>
              </w:tabs>
              <w:spacing w:line="360" w:lineRule="auto"/>
              <w:ind w:left="34"/>
              <w:jc w:val="both"/>
              <w:rPr>
                <w:rFonts w:ascii="Montserrat Light" w:eastAsia="Times New Roman" w:hAnsi="Montserrat Light" w:cs="Times New Roman"/>
                <w:i/>
                <w:sz w:val="16"/>
                <w:szCs w:val="16"/>
                <w:lang w:val="es-ES" w:eastAsia="es-MX"/>
              </w:rPr>
            </w:pPr>
          </w:p>
        </w:tc>
        <w:tc>
          <w:tcPr>
            <w:tcW w:w="1701"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701"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134"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665" w:type="dxa"/>
          </w:tcPr>
          <w:p w:rsidR="00A32FF5" w:rsidRPr="00A32FF5" w:rsidRDefault="00A32FF5" w:rsidP="00A32FF5">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 xml:space="preserve">En el mes de mayo el INAI no emitió ninguna resolución sobre denuncias presentadas contra este </w:t>
            </w:r>
            <w:r w:rsidRPr="00A32FF5">
              <w:rPr>
                <w:rFonts w:ascii="Montserrat Light" w:eastAsia="Times New Roman" w:hAnsi="Montserrat Light" w:cs="Times New Roman"/>
                <w:bCs/>
                <w:i/>
                <w:sz w:val="16"/>
                <w:szCs w:val="16"/>
                <w:lang w:eastAsia="es-MX"/>
              </w:rPr>
              <w:t>Centro Nacional de Inteligencia.</w:t>
            </w:r>
          </w:p>
        </w:tc>
      </w:tr>
      <w:tr w:rsidR="00A32FF5" w:rsidTr="00A32FF5">
        <w:tc>
          <w:tcPr>
            <w:tcW w:w="534" w:type="dxa"/>
            <w:vAlign w:val="center"/>
          </w:tcPr>
          <w:p w:rsidR="00A32FF5" w:rsidRPr="00A32FF5" w:rsidRDefault="00A32FF5" w:rsidP="00A32FF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7</w:t>
            </w:r>
          </w:p>
        </w:tc>
        <w:tc>
          <w:tcPr>
            <w:tcW w:w="708" w:type="dxa"/>
            <w:vAlign w:val="center"/>
          </w:tcPr>
          <w:p w:rsidR="00A32FF5" w:rsidRPr="00A32FF5" w:rsidRDefault="00A32FF5" w:rsidP="00A32FF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2021</w:t>
            </w:r>
          </w:p>
        </w:tc>
        <w:tc>
          <w:tcPr>
            <w:tcW w:w="1560"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997" w:type="dxa"/>
          </w:tcPr>
          <w:p w:rsidR="00A32FF5" w:rsidRPr="00A32FF5" w:rsidRDefault="00A32FF5" w:rsidP="00A32FF5">
            <w:pPr>
              <w:tabs>
                <w:tab w:val="left" w:pos="6804"/>
                <w:tab w:val="left" w:pos="7230"/>
              </w:tabs>
              <w:spacing w:line="360" w:lineRule="auto"/>
              <w:ind w:left="34"/>
              <w:jc w:val="both"/>
              <w:rPr>
                <w:rFonts w:ascii="Montserrat Light" w:eastAsia="Times New Roman" w:hAnsi="Montserrat Light" w:cs="Times New Roman"/>
                <w:i/>
                <w:sz w:val="16"/>
                <w:szCs w:val="16"/>
                <w:lang w:val="es-ES" w:eastAsia="es-MX"/>
              </w:rPr>
            </w:pPr>
          </w:p>
        </w:tc>
        <w:tc>
          <w:tcPr>
            <w:tcW w:w="1701"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701"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134"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665" w:type="dxa"/>
          </w:tcPr>
          <w:p w:rsidR="00A32FF5" w:rsidRPr="00A32FF5" w:rsidRDefault="00A32FF5" w:rsidP="00A32FF5">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 xml:space="preserve">En el mes de junio el INAI no emitió ninguna resolución sobre denuncias presentadas contra este </w:t>
            </w:r>
            <w:r w:rsidRPr="00A32FF5">
              <w:rPr>
                <w:rFonts w:ascii="Montserrat Light" w:eastAsia="Times New Roman" w:hAnsi="Montserrat Light" w:cs="Times New Roman"/>
                <w:bCs/>
                <w:i/>
                <w:sz w:val="16"/>
                <w:szCs w:val="16"/>
                <w:lang w:eastAsia="es-MX"/>
              </w:rPr>
              <w:t>Centro Nacional de Inteligencia.</w:t>
            </w:r>
          </w:p>
        </w:tc>
      </w:tr>
      <w:tr w:rsidR="00A32FF5" w:rsidTr="00A32FF5">
        <w:tc>
          <w:tcPr>
            <w:tcW w:w="534" w:type="dxa"/>
            <w:vAlign w:val="center"/>
          </w:tcPr>
          <w:p w:rsidR="00A32FF5" w:rsidRPr="00A32FF5" w:rsidRDefault="00A32FF5" w:rsidP="00A32FF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8</w:t>
            </w:r>
          </w:p>
        </w:tc>
        <w:tc>
          <w:tcPr>
            <w:tcW w:w="708" w:type="dxa"/>
            <w:vAlign w:val="center"/>
          </w:tcPr>
          <w:p w:rsidR="00A32FF5" w:rsidRPr="00A32FF5" w:rsidRDefault="00A32FF5" w:rsidP="00A32FF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2021</w:t>
            </w:r>
          </w:p>
        </w:tc>
        <w:tc>
          <w:tcPr>
            <w:tcW w:w="1560"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997" w:type="dxa"/>
          </w:tcPr>
          <w:p w:rsidR="00A32FF5" w:rsidRPr="00A32FF5" w:rsidRDefault="00A32FF5" w:rsidP="00A32FF5">
            <w:pPr>
              <w:tabs>
                <w:tab w:val="left" w:pos="6804"/>
                <w:tab w:val="left" w:pos="7230"/>
              </w:tabs>
              <w:spacing w:line="360" w:lineRule="auto"/>
              <w:ind w:left="34"/>
              <w:jc w:val="both"/>
              <w:rPr>
                <w:rFonts w:ascii="Montserrat Light" w:eastAsia="Times New Roman" w:hAnsi="Montserrat Light" w:cs="Times New Roman"/>
                <w:bCs/>
                <w:sz w:val="16"/>
                <w:szCs w:val="16"/>
                <w:lang w:eastAsia="es-MX"/>
              </w:rPr>
            </w:pPr>
          </w:p>
        </w:tc>
        <w:tc>
          <w:tcPr>
            <w:tcW w:w="1701"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701"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134"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665" w:type="dxa"/>
          </w:tcPr>
          <w:p w:rsidR="00A32FF5" w:rsidRPr="00A32FF5" w:rsidRDefault="00A32FF5" w:rsidP="00A32FF5">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En el mes de julio el INAI no emitió ninguna resolución sobre denuncias presentadas contra este Centro Nacional de Inteligencia.</w:t>
            </w:r>
          </w:p>
        </w:tc>
      </w:tr>
      <w:tr w:rsidR="00A32FF5" w:rsidTr="00A32FF5">
        <w:tc>
          <w:tcPr>
            <w:tcW w:w="534" w:type="dxa"/>
            <w:vAlign w:val="center"/>
          </w:tcPr>
          <w:p w:rsidR="00A32FF5" w:rsidRPr="00A32FF5" w:rsidRDefault="00A32FF5" w:rsidP="00A32FF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9</w:t>
            </w:r>
          </w:p>
        </w:tc>
        <w:tc>
          <w:tcPr>
            <w:tcW w:w="708" w:type="dxa"/>
            <w:vAlign w:val="center"/>
          </w:tcPr>
          <w:p w:rsidR="00A32FF5" w:rsidRPr="00A32FF5" w:rsidRDefault="00A32FF5" w:rsidP="00A32FF5">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2021</w:t>
            </w:r>
          </w:p>
        </w:tc>
        <w:tc>
          <w:tcPr>
            <w:tcW w:w="1560"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997" w:type="dxa"/>
          </w:tcPr>
          <w:p w:rsidR="00A32FF5" w:rsidRPr="00A32FF5" w:rsidRDefault="00A32FF5" w:rsidP="00A32FF5">
            <w:pPr>
              <w:tabs>
                <w:tab w:val="left" w:pos="6804"/>
                <w:tab w:val="left" w:pos="7230"/>
              </w:tabs>
              <w:spacing w:line="360" w:lineRule="auto"/>
              <w:ind w:left="34"/>
              <w:jc w:val="both"/>
              <w:rPr>
                <w:rFonts w:ascii="Montserrat Light" w:eastAsia="Times New Roman" w:hAnsi="Montserrat Light" w:cs="Times New Roman"/>
                <w:bCs/>
                <w:sz w:val="16"/>
                <w:szCs w:val="16"/>
                <w:lang w:eastAsia="es-MX"/>
              </w:rPr>
            </w:pPr>
          </w:p>
        </w:tc>
        <w:tc>
          <w:tcPr>
            <w:tcW w:w="1701"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701"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134" w:type="dxa"/>
          </w:tcPr>
          <w:p w:rsidR="00A32FF5" w:rsidRPr="00A32FF5" w:rsidRDefault="00A32FF5" w:rsidP="00A32FF5">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665" w:type="dxa"/>
          </w:tcPr>
          <w:p w:rsidR="00A32FF5" w:rsidRPr="00A32FF5" w:rsidRDefault="00A32FF5" w:rsidP="00A32FF5">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En el mes de agosto el INAI no emitió ninguna resolución sobre denuncias presentadas contra este Centro Nacional de Inteligencia.</w:t>
            </w:r>
          </w:p>
        </w:tc>
      </w:tr>
      <w:tr w:rsidR="00F22E09" w:rsidTr="00A32FF5">
        <w:tc>
          <w:tcPr>
            <w:tcW w:w="534" w:type="dxa"/>
            <w:vAlign w:val="center"/>
          </w:tcPr>
          <w:p w:rsidR="00F22E09" w:rsidRPr="00F22E09" w:rsidRDefault="00F22E09" w:rsidP="00F22E09">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10</w:t>
            </w:r>
          </w:p>
        </w:tc>
        <w:tc>
          <w:tcPr>
            <w:tcW w:w="708" w:type="dxa"/>
            <w:vAlign w:val="center"/>
          </w:tcPr>
          <w:p w:rsidR="00F22E09" w:rsidRPr="00F22E09" w:rsidRDefault="00F22E09" w:rsidP="00F22E09">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2021</w:t>
            </w:r>
          </w:p>
        </w:tc>
        <w:tc>
          <w:tcPr>
            <w:tcW w:w="1560" w:type="dxa"/>
          </w:tcPr>
          <w:p w:rsidR="00F22E09" w:rsidRPr="00F22E09" w:rsidRDefault="00F22E09"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997" w:type="dxa"/>
          </w:tcPr>
          <w:p w:rsidR="00F22E09" w:rsidRPr="00F22E09" w:rsidRDefault="00F22E09" w:rsidP="00F22E09">
            <w:pPr>
              <w:tabs>
                <w:tab w:val="left" w:pos="6804"/>
                <w:tab w:val="left" w:pos="7230"/>
              </w:tabs>
              <w:spacing w:line="360" w:lineRule="auto"/>
              <w:ind w:left="34"/>
              <w:jc w:val="both"/>
              <w:rPr>
                <w:rFonts w:ascii="Montserrat Light" w:eastAsia="Times New Roman" w:hAnsi="Montserrat Light" w:cs="Times New Roman"/>
                <w:bCs/>
                <w:sz w:val="16"/>
                <w:szCs w:val="16"/>
                <w:lang w:eastAsia="es-MX"/>
              </w:rPr>
            </w:pPr>
          </w:p>
        </w:tc>
        <w:tc>
          <w:tcPr>
            <w:tcW w:w="1701" w:type="dxa"/>
          </w:tcPr>
          <w:p w:rsidR="00F22E09" w:rsidRPr="00F22E09" w:rsidRDefault="00F22E09"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701" w:type="dxa"/>
          </w:tcPr>
          <w:p w:rsidR="00F22E09" w:rsidRPr="00F22E09" w:rsidRDefault="00F22E09"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134" w:type="dxa"/>
          </w:tcPr>
          <w:p w:rsidR="00F22E09" w:rsidRPr="00F22E09" w:rsidRDefault="00F22E09"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665" w:type="dxa"/>
          </w:tcPr>
          <w:p w:rsidR="00F22E09" w:rsidRPr="00F22E09" w:rsidRDefault="00F22E09" w:rsidP="00F22E09">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En el mes de septiembre el INAI no emitió ninguna resolución sobre denuncias presentadas contra este Centro Nacional de Inteligencia.</w:t>
            </w:r>
          </w:p>
        </w:tc>
      </w:tr>
    </w:tbl>
    <w:p w:rsidR="009D5665" w:rsidRDefault="009D5665">
      <w:r>
        <w:br w:type="page"/>
      </w:r>
    </w:p>
    <w:tbl>
      <w:tblPr>
        <w:tblStyle w:val="Tablaconcuadrcula"/>
        <w:tblpPr w:leftFromText="141" w:rightFromText="141" w:vertAnchor="text" w:horzAnchor="margin" w:tblpY="530"/>
        <w:tblW w:w="14000" w:type="dxa"/>
        <w:tblLayout w:type="fixed"/>
        <w:tblLook w:val="04A0" w:firstRow="1" w:lastRow="0" w:firstColumn="1" w:lastColumn="0" w:noHBand="0" w:noVBand="1"/>
      </w:tblPr>
      <w:tblGrid>
        <w:gridCol w:w="534"/>
        <w:gridCol w:w="708"/>
        <w:gridCol w:w="1560"/>
        <w:gridCol w:w="3997"/>
        <w:gridCol w:w="1701"/>
        <w:gridCol w:w="1701"/>
        <w:gridCol w:w="1134"/>
        <w:gridCol w:w="2665"/>
      </w:tblGrid>
      <w:tr w:rsidR="009E0064" w:rsidRPr="003E1455" w:rsidTr="00F22E09">
        <w:trPr>
          <w:tblHeader/>
        </w:trPr>
        <w:tc>
          <w:tcPr>
            <w:tcW w:w="534" w:type="dxa"/>
            <w:shd w:val="clear" w:color="auto" w:fill="7030A0"/>
            <w:vAlign w:val="center"/>
          </w:tcPr>
          <w:p w:rsidR="009E0064" w:rsidRPr="003E1455" w:rsidRDefault="009E0064" w:rsidP="00F22E09">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No.</w:t>
            </w:r>
          </w:p>
        </w:tc>
        <w:tc>
          <w:tcPr>
            <w:tcW w:w="708" w:type="dxa"/>
            <w:shd w:val="clear" w:color="auto" w:fill="7030A0"/>
            <w:vAlign w:val="center"/>
          </w:tcPr>
          <w:p w:rsidR="009E0064" w:rsidRPr="003E1455" w:rsidRDefault="009E0064" w:rsidP="00F22E09">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Año</w:t>
            </w:r>
          </w:p>
        </w:tc>
        <w:tc>
          <w:tcPr>
            <w:tcW w:w="1560" w:type="dxa"/>
            <w:shd w:val="clear" w:color="auto" w:fill="7030A0"/>
            <w:vAlign w:val="center"/>
          </w:tcPr>
          <w:p w:rsidR="009E0064" w:rsidRPr="003E1455" w:rsidRDefault="009E0064" w:rsidP="00F22E09">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Número de identificación de la denuncia</w:t>
            </w:r>
          </w:p>
        </w:tc>
        <w:tc>
          <w:tcPr>
            <w:tcW w:w="3997" w:type="dxa"/>
            <w:shd w:val="clear" w:color="auto" w:fill="7030A0"/>
            <w:vAlign w:val="center"/>
          </w:tcPr>
          <w:p w:rsidR="009E0064" w:rsidRPr="003E1455" w:rsidRDefault="009E0064" w:rsidP="00F22E09">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Objeto de la denuncia</w:t>
            </w:r>
          </w:p>
        </w:tc>
        <w:tc>
          <w:tcPr>
            <w:tcW w:w="1701" w:type="dxa"/>
            <w:shd w:val="clear" w:color="auto" w:fill="7030A0"/>
            <w:vAlign w:val="center"/>
          </w:tcPr>
          <w:p w:rsidR="009E0064" w:rsidRPr="003E1455" w:rsidRDefault="009E0064" w:rsidP="00F22E09">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Sentido de la resolución emitida por el INAI</w:t>
            </w:r>
          </w:p>
        </w:tc>
        <w:tc>
          <w:tcPr>
            <w:tcW w:w="1701" w:type="dxa"/>
            <w:shd w:val="clear" w:color="auto" w:fill="7030A0"/>
            <w:vAlign w:val="center"/>
          </w:tcPr>
          <w:p w:rsidR="009E0064" w:rsidRPr="003E1455" w:rsidRDefault="009E0064" w:rsidP="00F22E09">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Fecha en que fue emitida la resolución del INAI</w:t>
            </w:r>
          </w:p>
        </w:tc>
        <w:tc>
          <w:tcPr>
            <w:tcW w:w="1134" w:type="dxa"/>
            <w:shd w:val="clear" w:color="auto" w:fill="7030A0"/>
            <w:vAlign w:val="center"/>
          </w:tcPr>
          <w:p w:rsidR="009E0064" w:rsidRPr="003E1455" w:rsidRDefault="009E0064" w:rsidP="00F22E09">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Documento de la denuncia</w:t>
            </w:r>
          </w:p>
        </w:tc>
        <w:tc>
          <w:tcPr>
            <w:tcW w:w="2665" w:type="dxa"/>
            <w:shd w:val="clear" w:color="auto" w:fill="7030A0"/>
            <w:vAlign w:val="center"/>
          </w:tcPr>
          <w:p w:rsidR="009E0064" w:rsidRPr="003E1455" w:rsidRDefault="009E0064" w:rsidP="00F22E09">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20"/>
                <w:szCs w:val="20"/>
                <w:lang w:eastAsia="es-MX"/>
              </w:rPr>
            </w:pPr>
            <w:r w:rsidRPr="003E1455">
              <w:rPr>
                <w:rFonts w:ascii="Monserrat light" w:eastAsia="Times New Roman" w:hAnsi="Monserrat light" w:cs="Times New Roman"/>
                <w:b/>
                <w:bCs/>
                <w:color w:val="FFFFFF" w:themeColor="background1"/>
                <w:sz w:val="20"/>
                <w:szCs w:val="20"/>
                <w:lang w:eastAsia="es-MX"/>
              </w:rPr>
              <w:t>Nota</w:t>
            </w:r>
          </w:p>
        </w:tc>
      </w:tr>
      <w:tr w:rsidR="009E0064" w:rsidTr="00F22E09">
        <w:tc>
          <w:tcPr>
            <w:tcW w:w="534" w:type="dxa"/>
            <w:vAlign w:val="center"/>
          </w:tcPr>
          <w:p w:rsidR="009E0064" w:rsidRPr="00F22E09" w:rsidRDefault="009E0064" w:rsidP="00F22E09">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11</w:t>
            </w:r>
          </w:p>
        </w:tc>
        <w:tc>
          <w:tcPr>
            <w:tcW w:w="708" w:type="dxa"/>
            <w:vAlign w:val="center"/>
          </w:tcPr>
          <w:p w:rsidR="009E0064" w:rsidRPr="00F22E09" w:rsidRDefault="009E0064" w:rsidP="00F22E09">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2021</w:t>
            </w:r>
          </w:p>
        </w:tc>
        <w:tc>
          <w:tcPr>
            <w:tcW w:w="1560"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997" w:type="dxa"/>
          </w:tcPr>
          <w:p w:rsidR="009E0064" w:rsidRPr="00F22E09" w:rsidRDefault="009E0064" w:rsidP="00F22E09">
            <w:pPr>
              <w:tabs>
                <w:tab w:val="left" w:pos="6804"/>
                <w:tab w:val="left" w:pos="7230"/>
              </w:tabs>
              <w:spacing w:line="360" w:lineRule="auto"/>
              <w:ind w:left="34"/>
              <w:jc w:val="both"/>
              <w:rPr>
                <w:rFonts w:ascii="Montserrat Light" w:eastAsia="Times New Roman" w:hAnsi="Montserrat Light" w:cs="Times New Roman"/>
                <w:bCs/>
                <w:sz w:val="16"/>
                <w:szCs w:val="16"/>
                <w:lang w:eastAsia="es-MX"/>
              </w:rPr>
            </w:pPr>
          </w:p>
        </w:tc>
        <w:tc>
          <w:tcPr>
            <w:tcW w:w="1701"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701"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134"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665" w:type="dxa"/>
          </w:tcPr>
          <w:p w:rsidR="009E0064" w:rsidRPr="00F22E09" w:rsidRDefault="009E0064" w:rsidP="00F22E09">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En el mes de octubre el INAI no emitió ninguna resolución sobre denuncias presentadas contra este Centro Nacional de Inteligencia.</w:t>
            </w:r>
          </w:p>
        </w:tc>
      </w:tr>
      <w:tr w:rsidR="009E0064" w:rsidTr="00F22E09">
        <w:tc>
          <w:tcPr>
            <w:tcW w:w="534" w:type="dxa"/>
            <w:vAlign w:val="center"/>
          </w:tcPr>
          <w:p w:rsidR="009E0064" w:rsidRPr="00F22E09" w:rsidRDefault="009E0064" w:rsidP="00F22E09">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12</w:t>
            </w:r>
          </w:p>
        </w:tc>
        <w:tc>
          <w:tcPr>
            <w:tcW w:w="708" w:type="dxa"/>
            <w:vAlign w:val="center"/>
          </w:tcPr>
          <w:p w:rsidR="009E0064" w:rsidRPr="00F22E09" w:rsidRDefault="009E0064" w:rsidP="00F22E09">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2021</w:t>
            </w:r>
          </w:p>
        </w:tc>
        <w:tc>
          <w:tcPr>
            <w:tcW w:w="1560"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997" w:type="dxa"/>
          </w:tcPr>
          <w:p w:rsidR="009E0064" w:rsidRPr="00F22E09" w:rsidRDefault="009E0064" w:rsidP="00F22E09">
            <w:pPr>
              <w:tabs>
                <w:tab w:val="left" w:pos="6804"/>
                <w:tab w:val="left" w:pos="7230"/>
              </w:tabs>
              <w:spacing w:line="360" w:lineRule="auto"/>
              <w:ind w:left="34"/>
              <w:jc w:val="both"/>
              <w:rPr>
                <w:rFonts w:ascii="Montserrat Light" w:eastAsia="Times New Roman" w:hAnsi="Montserrat Light" w:cs="Times New Roman"/>
                <w:bCs/>
                <w:sz w:val="16"/>
                <w:szCs w:val="16"/>
                <w:lang w:eastAsia="es-MX"/>
              </w:rPr>
            </w:pPr>
          </w:p>
        </w:tc>
        <w:tc>
          <w:tcPr>
            <w:tcW w:w="1701"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701"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134"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665" w:type="dxa"/>
          </w:tcPr>
          <w:p w:rsidR="009E0064" w:rsidRPr="00F22E09" w:rsidRDefault="009E0064" w:rsidP="00F22E09">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En el mes de noviembre el INAI no emitió ninguna resolución sobre denuncias presentadas contra este Centro Nacional de Inteligencia.</w:t>
            </w:r>
          </w:p>
        </w:tc>
      </w:tr>
      <w:tr w:rsidR="009E0064" w:rsidTr="00F22E09">
        <w:tc>
          <w:tcPr>
            <w:tcW w:w="534" w:type="dxa"/>
            <w:vAlign w:val="center"/>
          </w:tcPr>
          <w:p w:rsidR="009E0064" w:rsidRPr="00F22E09" w:rsidRDefault="009E0064" w:rsidP="00F22E09">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13</w:t>
            </w:r>
          </w:p>
        </w:tc>
        <w:tc>
          <w:tcPr>
            <w:tcW w:w="708" w:type="dxa"/>
            <w:vAlign w:val="center"/>
          </w:tcPr>
          <w:p w:rsidR="009E0064" w:rsidRPr="00F22E09" w:rsidRDefault="009E0064" w:rsidP="00F22E09">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2021</w:t>
            </w:r>
          </w:p>
        </w:tc>
        <w:tc>
          <w:tcPr>
            <w:tcW w:w="1560"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997" w:type="dxa"/>
          </w:tcPr>
          <w:p w:rsidR="009E0064" w:rsidRPr="00F22E09" w:rsidRDefault="009E0064" w:rsidP="00F22E09">
            <w:pPr>
              <w:tabs>
                <w:tab w:val="left" w:pos="6804"/>
                <w:tab w:val="left" w:pos="7230"/>
              </w:tabs>
              <w:spacing w:line="360" w:lineRule="auto"/>
              <w:ind w:left="34"/>
              <w:jc w:val="both"/>
              <w:rPr>
                <w:rFonts w:ascii="Montserrat Light" w:eastAsia="Times New Roman" w:hAnsi="Montserrat Light" w:cs="Times New Roman"/>
                <w:bCs/>
                <w:sz w:val="16"/>
                <w:szCs w:val="16"/>
                <w:lang w:eastAsia="es-MX"/>
              </w:rPr>
            </w:pPr>
          </w:p>
        </w:tc>
        <w:tc>
          <w:tcPr>
            <w:tcW w:w="1701"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701"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134" w:type="dxa"/>
          </w:tcPr>
          <w:p w:rsidR="009E0064" w:rsidRPr="00F22E09" w:rsidRDefault="009E0064" w:rsidP="00F22E09">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665" w:type="dxa"/>
          </w:tcPr>
          <w:p w:rsidR="009E0064" w:rsidRPr="00F22E09" w:rsidRDefault="009E0064" w:rsidP="00F22E09">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F22E09">
              <w:rPr>
                <w:rFonts w:ascii="Montserrat Light" w:eastAsia="Times New Roman" w:hAnsi="Montserrat Light" w:cs="Times New Roman"/>
                <w:bCs/>
                <w:sz w:val="16"/>
                <w:szCs w:val="16"/>
                <w:lang w:eastAsia="es-MX"/>
              </w:rPr>
              <w:t>En el mes de diciembre el INAI no emitió ninguna resolución sobre denuncias presentadas contra este Centro Nacional de Inteligencia.</w:t>
            </w:r>
          </w:p>
        </w:tc>
      </w:tr>
    </w:tbl>
    <w:p w:rsidR="005945E1" w:rsidRDefault="00F22E09" w:rsidP="00F22E09">
      <w:pPr>
        <w:ind w:left="8496" w:firstLine="708"/>
      </w:pPr>
      <w:r w:rsidRPr="00A32FF5">
        <w:rPr>
          <w:rFonts w:ascii="Montserrat Light" w:eastAsia="Times New Roman" w:hAnsi="Montserrat Light" w:cs="Times New Roman"/>
          <w:lang w:eastAsia="es-MX"/>
        </w:rPr>
        <w:t>Fecha de actualización 31/</w:t>
      </w:r>
      <w:r>
        <w:rPr>
          <w:rFonts w:ascii="Montserrat Light" w:eastAsia="Times New Roman" w:hAnsi="Montserrat Light" w:cs="Times New Roman"/>
          <w:lang w:eastAsia="es-MX"/>
        </w:rPr>
        <w:t>12</w:t>
      </w:r>
      <w:r w:rsidRPr="00A32FF5">
        <w:rPr>
          <w:rFonts w:ascii="Montserrat Light" w:eastAsia="Times New Roman" w:hAnsi="Montserrat Light" w:cs="Times New Roman"/>
          <w:lang w:eastAsia="es-MX"/>
        </w:rPr>
        <w:t>/2021</w:t>
      </w:r>
    </w:p>
    <w:sectPr w:rsidR="005945E1" w:rsidSect="000A117E">
      <w:headerReference w:type="default" r:id="rId12"/>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678" w:rsidRDefault="00891678" w:rsidP="00973ED8">
      <w:pPr>
        <w:spacing w:after="0" w:line="240" w:lineRule="auto"/>
      </w:pPr>
      <w:r>
        <w:separator/>
      </w:r>
    </w:p>
  </w:endnote>
  <w:endnote w:type="continuationSeparator" w:id="0">
    <w:p w:rsidR="00891678" w:rsidRDefault="00891678" w:rsidP="0097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ontserrat Light">
    <w:panose1 w:val="00000400000000000000"/>
    <w:charset w:val="00"/>
    <w:family w:val="auto"/>
    <w:pitch w:val="variable"/>
    <w:sig w:usb0="A00002FF" w:usb1="4000207B" w:usb2="00000000" w:usb3="00000000" w:csb0="00000197" w:csb1="00000000"/>
  </w:font>
  <w:font w:name="Monserrat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678" w:rsidRDefault="00891678" w:rsidP="00973ED8">
      <w:pPr>
        <w:spacing w:after="0" w:line="240" w:lineRule="auto"/>
      </w:pPr>
      <w:r>
        <w:separator/>
      </w:r>
    </w:p>
  </w:footnote>
  <w:footnote w:type="continuationSeparator" w:id="0">
    <w:p w:rsidR="00891678" w:rsidRDefault="00891678" w:rsidP="00973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D8" w:rsidRPr="00A832D4" w:rsidRDefault="00973ED8" w:rsidP="00973ED8">
    <w:pPr>
      <w:spacing w:after="0" w:line="240" w:lineRule="auto"/>
      <w:jc w:val="center"/>
      <w:outlineLvl w:val="2"/>
      <w:rPr>
        <w:rFonts w:ascii="Monserrat light" w:eastAsia="Times New Roman" w:hAnsi="Monserrat light" w:cs="Times New Roman"/>
        <w:b/>
        <w:bCs/>
        <w:lang w:eastAsia="es-MX"/>
      </w:rPr>
    </w:pPr>
    <w:r w:rsidRPr="00A832D4">
      <w:rPr>
        <w:rFonts w:ascii="Monserrat light" w:eastAsia="Times New Roman" w:hAnsi="Monserrat light" w:cs="Times New Roman"/>
        <w:b/>
        <w:bCs/>
        <w:lang w:eastAsia="es-MX"/>
      </w:rPr>
      <w:t>“</w:t>
    </w:r>
    <w:r w:rsidRPr="00ED05E2">
      <w:rPr>
        <w:rFonts w:ascii="Monserrat light" w:eastAsia="Times New Roman" w:hAnsi="Monserrat light" w:cs="Times New Roman"/>
        <w:b/>
        <w:bCs/>
        <w:lang w:eastAsia="es-MX"/>
      </w:rPr>
      <w:t>Denuncia</w:t>
    </w:r>
    <w:r w:rsidRPr="00A832D4">
      <w:rPr>
        <w:rFonts w:ascii="Monserrat light" w:eastAsia="Times New Roman" w:hAnsi="Monserrat light" w:cs="Times New Roman"/>
        <w:b/>
        <w:bCs/>
        <w:lang w:eastAsia="es-MX"/>
      </w:rPr>
      <w:t>s</w:t>
    </w:r>
    <w:r w:rsidRPr="00ED05E2">
      <w:rPr>
        <w:rFonts w:ascii="Monserrat light" w:eastAsia="Times New Roman" w:hAnsi="Monserrat light" w:cs="Times New Roman"/>
        <w:b/>
        <w:bCs/>
        <w:lang w:eastAsia="es-MX"/>
      </w:rPr>
      <w:t xml:space="preserve"> por</w:t>
    </w:r>
    <w:r w:rsidRPr="00A832D4">
      <w:rPr>
        <w:rFonts w:ascii="Monserrat light" w:eastAsia="Times New Roman" w:hAnsi="Monserrat light" w:cs="Times New Roman"/>
        <w:b/>
        <w:bCs/>
        <w:lang w:eastAsia="es-MX"/>
      </w:rPr>
      <w:t xml:space="preserve"> incumplimiento a las </w:t>
    </w:r>
    <w:r w:rsidRPr="00ED05E2">
      <w:rPr>
        <w:rFonts w:ascii="Monserrat light" w:eastAsia="Times New Roman" w:hAnsi="Monserrat light" w:cs="Times New Roman"/>
        <w:b/>
        <w:bCs/>
        <w:lang w:eastAsia="es-MX"/>
      </w:rPr>
      <w:t>Obligaciones de Transparencia</w:t>
    </w:r>
  </w:p>
  <w:p w:rsidR="00973ED8" w:rsidRDefault="00973ED8" w:rsidP="00973ED8">
    <w:pPr>
      <w:spacing w:before="100" w:beforeAutospacing="1" w:after="100" w:afterAutospacing="1" w:line="240" w:lineRule="auto"/>
      <w:jc w:val="both"/>
      <w:rPr>
        <w:rFonts w:ascii="Monserrat light" w:eastAsia="Times New Roman" w:hAnsi="Monserrat light" w:cs="Times New Roman"/>
        <w:lang w:eastAsia="es-MX"/>
      </w:rPr>
    </w:pPr>
    <w:r w:rsidRPr="00ED05E2">
      <w:rPr>
        <w:rFonts w:ascii="Monserrat light" w:eastAsia="Times New Roman" w:hAnsi="Monserrat light" w:cs="Times New Roman"/>
        <w:lang w:eastAsia="es-MX"/>
      </w:rPr>
      <w:t>C</w:t>
    </w:r>
    <w:r w:rsidRPr="00A832D4">
      <w:rPr>
        <w:rFonts w:ascii="Monserrat light" w:eastAsia="Times New Roman" w:hAnsi="Monserrat light" w:cs="Times New Roman"/>
        <w:lang w:eastAsia="es-MX"/>
      </w:rPr>
      <w:t>onsulta</w:t>
    </w:r>
    <w:r w:rsidRPr="00ED05E2">
      <w:rPr>
        <w:rFonts w:ascii="Monserrat light" w:eastAsia="Times New Roman" w:hAnsi="Monserrat light" w:cs="Times New Roman"/>
        <w:lang w:eastAsia="es-MX"/>
      </w:rPr>
      <w:t xml:space="preserve"> las denuncias </w:t>
    </w:r>
    <w:r w:rsidRPr="00A832D4">
      <w:rPr>
        <w:rFonts w:ascii="Monserrat light" w:eastAsia="Times New Roman" w:hAnsi="Monserrat light" w:cs="Times New Roman"/>
        <w:lang w:eastAsia="es-MX"/>
      </w:rPr>
      <w:t xml:space="preserve">presentadas por las personas ante el </w:t>
    </w:r>
    <w:r w:rsidRPr="00A832D4">
      <w:rPr>
        <w:rFonts w:ascii="Monserrat light" w:eastAsia="Times New Roman" w:hAnsi="Monserrat light" w:cs="Times New Roman"/>
        <w:i/>
        <w:lang w:eastAsia="es-MX"/>
      </w:rPr>
      <w:t>Instituto Nacional de Transparencia, Acceso a la Información y Protección de Datos Personales</w:t>
    </w:r>
    <w:r w:rsidRPr="00A832D4">
      <w:rPr>
        <w:rFonts w:ascii="Monserrat light" w:eastAsia="Times New Roman" w:hAnsi="Monserrat light" w:cs="Times New Roman"/>
        <w:lang w:eastAsia="es-MX"/>
      </w:rPr>
      <w:t xml:space="preserve"> (INAI) en contra del </w:t>
    </w:r>
    <w:r w:rsidRPr="00A832D4">
      <w:rPr>
        <w:rFonts w:ascii="Monserrat light" w:eastAsia="Times New Roman" w:hAnsi="Monserrat light" w:cs="Times New Roman"/>
        <w:i/>
        <w:lang w:eastAsia="es-MX"/>
      </w:rPr>
      <w:t>Centro Nacional de Inteligencia</w:t>
    </w:r>
    <w:r w:rsidRPr="00A832D4">
      <w:rPr>
        <w:rFonts w:ascii="Monserrat light" w:eastAsia="Times New Roman" w:hAnsi="Monserrat light" w:cs="Times New Roman"/>
        <w:lang w:eastAsia="es-MX"/>
      </w:rPr>
      <w:t xml:space="preserve"> por incumplimiento y/</w:t>
    </w:r>
    <w:r w:rsidRPr="00ED05E2">
      <w:rPr>
        <w:rFonts w:ascii="Monserrat light" w:eastAsia="Times New Roman" w:hAnsi="Monserrat light" w:cs="Times New Roman"/>
        <w:lang w:eastAsia="es-MX"/>
      </w:rPr>
      <w:t xml:space="preserve">o por la falta de actualización de las Obligaciones de Transparencia previstas en los artículos 70 a 83 de la </w:t>
    </w:r>
    <w:r w:rsidRPr="00ED05E2">
      <w:rPr>
        <w:rFonts w:ascii="Monserrat light" w:eastAsia="Times New Roman" w:hAnsi="Monserrat light" w:cs="Times New Roman"/>
        <w:i/>
        <w:lang w:eastAsia="es-MX"/>
      </w:rPr>
      <w:t xml:space="preserve">Ley General de Transparencia y Acceso a la Información Pública </w:t>
    </w:r>
    <w:r w:rsidRPr="00ED05E2">
      <w:rPr>
        <w:rFonts w:ascii="Monserrat light" w:eastAsia="Times New Roman" w:hAnsi="Monserrat light" w:cs="Times New Roman"/>
        <w:lang w:eastAsia="es-MX"/>
      </w:rPr>
      <w:t xml:space="preserve">y 69 a 76 de la </w:t>
    </w:r>
    <w:r w:rsidRPr="00ED05E2">
      <w:rPr>
        <w:rFonts w:ascii="Monserrat light" w:eastAsia="Times New Roman" w:hAnsi="Monserrat light" w:cs="Times New Roman"/>
        <w:i/>
        <w:lang w:eastAsia="es-MX"/>
      </w:rPr>
      <w:t xml:space="preserve">Ley Federal de Transparencia y </w:t>
    </w:r>
    <w:r w:rsidRPr="00A832D4">
      <w:rPr>
        <w:rFonts w:ascii="Monserrat light" w:eastAsia="Times New Roman" w:hAnsi="Monserrat light" w:cs="Times New Roman"/>
        <w:i/>
        <w:lang w:eastAsia="es-MX"/>
      </w:rPr>
      <w:t>Acceso a la Información Pública</w:t>
    </w:r>
    <w:r w:rsidRPr="00A832D4">
      <w:rPr>
        <w:rFonts w:ascii="Monserrat light" w:eastAsia="Times New Roman" w:hAnsi="Monserrat light" w:cs="Times New Roman"/>
        <w:lang w:eastAsia="es-MX"/>
      </w:rPr>
      <w:t xml:space="preserve"> desde el año 2021.”</w:t>
    </w:r>
    <w:r>
      <w:rPr>
        <w:rFonts w:ascii="Monserrat light" w:eastAsia="Times New Roman" w:hAnsi="Monserrat light" w:cs="Times New Roman"/>
        <w:lang w:eastAsia="es-MX"/>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E2"/>
    <w:rsid w:val="000A117E"/>
    <w:rsid w:val="00132D5A"/>
    <w:rsid w:val="00133252"/>
    <w:rsid w:val="002A6EFF"/>
    <w:rsid w:val="002D2DE3"/>
    <w:rsid w:val="002F29F5"/>
    <w:rsid w:val="003E1455"/>
    <w:rsid w:val="00453657"/>
    <w:rsid w:val="00484CC3"/>
    <w:rsid w:val="004B44D5"/>
    <w:rsid w:val="005945E1"/>
    <w:rsid w:val="006001ED"/>
    <w:rsid w:val="0084345E"/>
    <w:rsid w:val="00891678"/>
    <w:rsid w:val="00973ED8"/>
    <w:rsid w:val="0099307A"/>
    <w:rsid w:val="009D5665"/>
    <w:rsid w:val="009E0064"/>
    <w:rsid w:val="00A32FF5"/>
    <w:rsid w:val="00A70D2D"/>
    <w:rsid w:val="00A76C5F"/>
    <w:rsid w:val="00A832D4"/>
    <w:rsid w:val="00C45C73"/>
    <w:rsid w:val="00C71189"/>
    <w:rsid w:val="00D4010C"/>
    <w:rsid w:val="00EC37AF"/>
    <w:rsid w:val="00ED05E2"/>
    <w:rsid w:val="00ED23AA"/>
    <w:rsid w:val="00F22E09"/>
    <w:rsid w:val="00F46E92"/>
    <w:rsid w:val="00FF78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4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A1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3E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ED8"/>
  </w:style>
  <w:style w:type="paragraph" w:styleId="Piedepgina">
    <w:name w:val="footer"/>
    <w:basedOn w:val="Normal"/>
    <w:link w:val="PiedepginaCar"/>
    <w:uiPriority w:val="99"/>
    <w:unhideWhenUsed/>
    <w:rsid w:val="00973E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4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A1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3E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ED8"/>
  </w:style>
  <w:style w:type="paragraph" w:styleId="Piedepgina">
    <w:name w:val="footer"/>
    <w:basedOn w:val="Normal"/>
    <w:link w:val="PiedepginaCar"/>
    <w:uiPriority w:val="99"/>
    <w:unhideWhenUsed/>
    <w:rsid w:val="00973E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0926">
      <w:bodyDiv w:val="1"/>
      <w:marLeft w:val="0"/>
      <w:marRight w:val="0"/>
      <w:marTop w:val="0"/>
      <w:marBottom w:val="0"/>
      <w:divBdr>
        <w:top w:val="none" w:sz="0" w:space="0" w:color="auto"/>
        <w:left w:val="none" w:sz="0" w:space="0" w:color="auto"/>
        <w:bottom w:val="none" w:sz="0" w:space="0" w:color="auto"/>
        <w:right w:val="none" w:sz="0" w:space="0" w:color="auto"/>
      </w:divBdr>
    </w:div>
    <w:div w:id="276765290">
      <w:bodyDiv w:val="1"/>
      <w:marLeft w:val="0"/>
      <w:marRight w:val="0"/>
      <w:marTop w:val="0"/>
      <w:marBottom w:val="0"/>
      <w:divBdr>
        <w:top w:val="none" w:sz="0" w:space="0" w:color="auto"/>
        <w:left w:val="none" w:sz="0" w:space="0" w:color="auto"/>
        <w:bottom w:val="none" w:sz="0" w:space="0" w:color="auto"/>
        <w:right w:val="none" w:sz="0" w:space="0" w:color="auto"/>
      </w:divBdr>
    </w:div>
    <w:div w:id="15172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gob.mx/actas/Informe1erTrim.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i.gob.mx/actas/Resolucion-DIT-067-21.pdf"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ni.gob.mx/actas/Resolucion-DIT-0097-21.pdf" TargetMode="External"/><Relationship Id="rId5" Type="http://schemas.openxmlformats.org/officeDocument/2006/relationships/footnotes" Target="footnotes.xml"/><Relationship Id="rId10" Type="http://schemas.openxmlformats.org/officeDocument/2006/relationships/hyperlink" Target="http://www.cni.gob.mx/actas/Informe4-Trimestre.pdf" TargetMode="External"/><Relationship Id="rId4" Type="http://schemas.openxmlformats.org/officeDocument/2006/relationships/webSettings" Target="webSettings.xml"/><Relationship Id="rId9" Type="http://schemas.openxmlformats.org/officeDocument/2006/relationships/hyperlink" Target="http://www.cni.gob.mx/actas/Info3ersemestre.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CGDT- Ramos López,  María de L.</cp:lastModifiedBy>
  <cp:revision>1</cp:revision>
  <dcterms:created xsi:type="dcterms:W3CDTF">2022-06-30T19:05:00Z</dcterms:created>
  <dcterms:modified xsi:type="dcterms:W3CDTF">2022-06-30T19:05:00Z</dcterms:modified>
</cp:coreProperties>
</file>